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bookmarkStart w:id="0" w:name="_GoBack"/>
      <w:bookmarkEnd w:id="0"/>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31F1F353" w:rsidR="00B2580E" w:rsidRDefault="00B2580E" w:rsidP="008D4645">
      <w:pPr>
        <w:pStyle w:val="documento"/>
        <w:jc w:val="center"/>
        <w:rPr>
          <w:b/>
        </w:rPr>
      </w:pPr>
      <w:r w:rsidRPr="0076547D">
        <w:rPr>
          <w:b/>
        </w:rPr>
        <w:t>NOTAS A LOS ESTADOS FINANCIEROS</w:t>
      </w:r>
      <w:r w:rsidR="00191ECF">
        <w:rPr>
          <w:b/>
        </w:rPr>
        <w:t xml:space="preserve"> AL </w:t>
      </w:r>
      <w:r w:rsidR="00854273">
        <w:rPr>
          <w:b/>
        </w:rPr>
        <w:t>3</w:t>
      </w:r>
      <w:r w:rsidR="00B9010E">
        <w:rPr>
          <w:b/>
        </w:rPr>
        <w:t>0</w:t>
      </w:r>
      <w:r w:rsidR="00310BAB" w:rsidRPr="0076547D">
        <w:rPr>
          <w:b/>
        </w:rPr>
        <w:t xml:space="preserve"> </w:t>
      </w:r>
      <w:r w:rsidR="00D96169" w:rsidRPr="0076547D">
        <w:rPr>
          <w:b/>
        </w:rPr>
        <w:t xml:space="preserve">DE </w:t>
      </w:r>
      <w:r w:rsidR="00B9010E">
        <w:rPr>
          <w:b/>
        </w:rPr>
        <w:t>JUNIO</w:t>
      </w:r>
      <w:r w:rsidR="008852C4">
        <w:rPr>
          <w:b/>
        </w:rPr>
        <w:t xml:space="preserve"> </w:t>
      </w:r>
      <w:r w:rsidR="00D96169" w:rsidRPr="0076547D">
        <w:rPr>
          <w:b/>
        </w:rPr>
        <w:t>DE 20</w:t>
      </w:r>
      <w:r w:rsidR="006E027D">
        <w:rPr>
          <w:b/>
        </w:rPr>
        <w:t>20</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36805EDB" w:rsidR="00B2580E" w:rsidRPr="00272BD4" w:rsidRDefault="005B3E25" w:rsidP="006E027D">
            <w:pPr>
              <w:pStyle w:val="ENCTAB"/>
              <w:spacing w:after="0"/>
              <w:rPr>
                <w:sz w:val="14"/>
                <w:szCs w:val="14"/>
              </w:rPr>
            </w:pPr>
            <w:r>
              <w:rPr>
                <w:sz w:val="14"/>
                <w:szCs w:val="14"/>
              </w:rPr>
              <w:t>20</w:t>
            </w:r>
            <w:r w:rsidR="006E027D">
              <w:rPr>
                <w:sz w:val="14"/>
                <w:szCs w:val="14"/>
              </w:rPr>
              <w:t>20</w:t>
            </w:r>
          </w:p>
        </w:tc>
        <w:tc>
          <w:tcPr>
            <w:tcW w:w="1418" w:type="dxa"/>
            <w:shd w:val="clear" w:color="auto" w:fill="D2D3D5"/>
            <w:vAlign w:val="center"/>
          </w:tcPr>
          <w:p w14:paraId="53CD9D18" w14:textId="2B9D0FC8" w:rsidR="00B2580E" w:rsidRPr="00272BD4" w:rsidRDefault="00BD0C19" w:rsidP="006E027D">
            <w:pPr>
              <w:pStyle w:val="ENCTAB"/>
              <w:spacing w:after="0"/>
              <w:rPr>
                <w:sz w:val="14"/>
                <w:szCs w:val="14"/>
              </w:rPr>
            </w:pPr>
            <w:r>
              <w:rPr>
                <w:sz w:val="14"/>
                <w:szCs w:val="14"/>
              </w:rPr>
              <w:t>20</w:t>
            </w:r>
            <w:r w:rsidR="006E027D">
              <w:rPr>
                <w:sz w:val="14"/>
                <w:szCs w:val="14"/>
              </w:rPr>
              <w:t>19</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2B395649" w:rsidR="00B2580E" w:rsidRPr="0063233F" w:rsidRDefault="00404140" w:rsidP="00006836">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3651723A" w14:textId="386F1254" w:rsidR="00B2580E" w:rsidRPr="00AF71CB" w:rsidRDefault="007346E2" w:rsidP="00006836">
            <w:pPr>
              <w:pStyle w:val="TEXTAB"/>
              <w:spacing w:after="0"/>
              <w:ind w:right="237"/>
              <w:jc w:val="right"/>
              <w:rPr>
                <w:sz w:val="12"/>
                <w:szCs w:val="12"/>
                <w:lang w:val="es-ES_tradnl"/>
              </w:rPr>
            </w:pPr>
            <w:r>
              <w:rPr>
                <w:sz w:val="12"/>
                <w:szCs w:val="12"/>
                <w:lang w:val="es-ES_tradnl"/>
              </w:rPr>
              <w:t>5,000.00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1F5B6E93" w:rsidR="00B2580E" w:rsidRPr="0063233F" w:rsidRDefault="00FA52EA" w:rsidP="00006836">
            <w:pPr>
              <w:pStyle w:val="TEXTAB"/>
              <w:spacing w:after="0"/>
              <w:ind w:right="237"/>
              <w:jc w:val="right"/>
              <w:rPr>
                <w:sz w:val="12"/>
                <w:szCs w:val="12"/>
                <w:lang w:val="es-ES_tradnl"/>
              </w:rPr>
            </w:pPr>
            <w:r w:rsidRPr="00FA52EA">
              <w:rPr>
                <w:sz w:val="12"/>
                <w:szCs w:val="12"/>
                <w:lang w:val="es-ES_tradnl"/>
              </w:rPr>
              <w:t>26,311,615.23</w:t>
            </w:r>
          </w:p>
        </w:tc>
        <w:tc>
          <w:tcPr>
            <w:tcW w:w="1418" w:type="dxa"/>
            <w:vAlign w:val="center"/>
          </w:tcPr>
          <w:p w14:paraId="430E79CB" w14:textId="57C27B84" w:rsidR="00B2580E" w:rsidRPr="00AF71CB" w:rsidRDefault="00B9010E" w:rsidP="00006836">
            <w:pPr>
              <w:pStyle w:val="TEXTAB"/>
              <w:spacing w:after="0"/>
              <w:ind w:right="237"/>
              <w:jc w:val="right"/>
              <w:rPr>
                <w:sz w:val="12"/>
                <w:szCs w:val="12"/>
                <w:lang w:val="es-ES_tradnl"/>
              </w:rPr>
            </w:pPr>
            <w:r>
              <w:rPr>
                <w:sz w:val="12"/>
                <w:szCs w:val="12"/>
                <w:lang w:val="es-ES_tradnl"/>
              </w:rPr>
              <w:t>22,285,808.35</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6AC371F6" w:rsidR="00B2580E" w:rsidRPr="0063233F" w:rsidRDefault="00FA52EA" w:rsidP="00006836">
            <w:pPr>
              <w:pStyle w:val="TEXTAB"/>
              <w:spacing w:after="0"/>
              <w:ind w:right="237"/>
              <w:jc w:val="right"/>
              <w:rPr>
                <w:sz w:val="12"/>
                <w:szCs w:val="12"/>
                <w:lang w:val="es-ES_tradnl"/>
              </w:rPr>
            </w:pPr>
            <w:r w:rsidRPr="00FA52EA">
              <w:rPr>
                <w:sz w:val="12"/>
                <w:szCs w:val="12"/>
                <w:lang w:val="es-ES_tradnl"/>
              </w:rPr>
              <w:t>20,074.14</w:t>
            </w:r>
          </w:p>
        </w:tc>
        <w:tc>
          <w:tcPr>
            <w:tcW w:w="1418" w:type="dxa"/>
            <w:vAlign w:val="center"/>
          </w:tcPr>
          <w:p w14:paraId="4D918B0A" w14:textId="019C9355" w:rsidR="00B2580E" w:rsidRPr="00AF71CB" w:rsidRDefault="000B2FD7" w:rsidP="003359D1">
            <w:pPr>
              <w:pStyle w:val="TEXTAB"/>
              <w:spacing w:after="0"/>
              <w:ind w:right="237"/>
              <w:jc w:val="right"/>
              <w:rPr>
                <w:sz w:val="12"/>
                <w:szCs w:val="12"/>
                <w:lang w:val="es-ES_tradnl"/>
              </w:rPr>
            </w:pPr>
            <w:r>
              <w:rPr>
                <w:sz w:val="12"/>
                <w:szCs w:val="12"/>
                <w:lang w:val="es-ES_tradnl"/>
              </w:rPr>
              <w:t>19,118.00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230C6E54" w:rsidR="00AA0FFE" w:rsidRDefault="00FA52EA" w:rsidP="00500541">
            <w:pPr>
              <w:pStyle w:val="TEXTAB"/>
              <w:spacing w:after="0"/>
              <w:ind w:right="237"/>
              <w:jc w:val="right"/>
              <w:rPr>
                <w:sz w:val="12"/>
                <w:szCs w:val="12"/>
                <w:lang w:val="es-ES_tradnl"/>
              </w:rPr>
            </w:pPr>
            <w:r w:rsidRPr="00FA52EA">
              <w:rPr>
                <w:sz w:val="12"/>
                <w:szCs w:val="12"/>
                <w:lang w:val="es-ES_tradnl"/>
              </w:rPr>
              <w:t>62,898.56</w:t>
            </w:r>
          </w:p>
        </w:tc>
        <w:tc>
          <w:tcPr>
            <w:tcW w:w="1418" w:type="dxa"/>
            <w:tcBorders>
              <w:bottom w:val="double" w:sz="4" w:space="0" w:color="auto"/>
            </w:tcBorders>
            <w:vAlign w:val="center"/>
          </w:tcPr>
          <w:p w14:paraId="357F625B" w14:textId="0F11518F" w:rsidR="00AA0FFE" w:rsidRPr="00AF71CB" w:rsidRDefault="00B9010E" w:rsidP="00827488">
            <w:pPr>
              <w:pStyle w:val="TEXTAB"/>
              <w:spacing w:after="0"/>
              <w:ind w:right="237"/>
              <w:jc w:val="right"/>
              <w:rPr>
                <w:sz w:val="12"/>
                <w:szCs w:val="12"/>
                <w:lang w:val="es-ES_tradnl"/>
              </w:rPr>
            </w:pPr>
            <w:r>
              <w:rPr>
                <w:sz w:val="12"/>
                <w:szCs w:val="12"/>
                <w:lang w:val="es-ES_tradnl"/>
              </w:rPr>
              <w:t>62,116.95</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32558ED7" w:rsidR="00B2580E" w:rsidRPr="0063233F" w:rsidRDefault="00FA52EA" w:rsidP="0090589C">
            <w:pPr>
              <w:pStyle w:val="TEXTAB"/>
              <w:spacing w:after="0"/>
              <w:ind w:right="237"/>
              <w:jc w:val="right"/>
              <w:rPr>
                <w:sz w:val="12"/>
                <w:szCs w:val="12"/>
                <w:lang w:val="es-ES_tradnl"/>
              </w:rPr>
            </w:pPr>
            <w:r w:rsidRPr="00FA52EA">
              <w:rPr>
                <w:sz w:val="12"/>
                <w:szCs w:val="12"/>
                <w:lang w:val="es-ES_tradnl"/>
              </w:rPr>
              <w:t>26,399,587.93</w:t>
            </w:r>
          </w:p>
        </w:tc>
        <w:tc>
          <w:tcPr>
            <w:tcW w:w="1418" w:type="dxa"/>
            <w:shd w:val="clear" w:color="auto" w:fill="D2D3D5"/>
            <w:vAlign w:val="center"/>
          </w:tcPr>
          <w:p w14:paraId="41793B18" w14:textId="16416114" w:rsidR="00B2580E" w:rsidRPr="0063233F" w:rsidRDefault="00B9010E" w:rsidP="00006836">
            <w:pPr>
              <w:pStyle w:val="TEXTAB"/>
              <w:spacing w:after="0"/>
              <w:ind w:right="237"/>
              <w:jc w:val="right"/>
              <w:rPr>
                <w:sz w:val="12"/>
                <w:szCs w:val="12"/>
                <w:lang w:val="es-ES_tradnl"/>
              </w:rPr>
            </w:pPr>
            <w:r>
              <w:rPr>
                <w:sz w:val="12"/>
                <w:szCs w:val="12"/>
                <w:lang w:val="es-ES_tradnl"/>
              </w:rPr>
              <w:t>22,373,043.30</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77777777"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25A4FE46" w14:textId="77777777" w:rsidR="00C00D2A" w:rsidRDefault="00C00D2A" w:rsidP="005D230D">
      <w:pPr>
        <w:pStyle w:val="documento"/>
        <w:rPr>
          <w:b/>
        </w:rPr>
      </w:pPr>
    </w:p>
    <w:p w14:paraId="51F2C486" w14:textId="77777777" w:rsidR="00D34B0C" w:rsidRPr="00382A21" w:rsidRDefault="00D34B0C"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77777777" w:rsidR="005D230D" w:rsidRDefault="005D230D" w:rsidP="005D230D">
      <w:pPr>
        <w:pStyle w:val="documento"/>
        <w:tabs>
          <w:tab w:val="left" w:pos="3261"/>
        </w:tabs>
      </w:pPr>
      <w:r>
        <w:t>Software y Licencias</w:t>
      </w:r>
      <w:r>
        <w:tab/>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0996B46E" w:rsidR="005D230D" w:rsidRDefault="005D230D" w:rsidP="005D230D">
      <w:pPr>
        <w:pStyle w:val="documento"/>
      </w:pPr>
      <w:r w:rsidRPr="003659EC">
        <w:t xml:space="preserve">El monto de la depreciación acumulada fue de </w:t>
      </w:r>
      <w:r w:rsidR="00B65EAA" w:rsidRPr="003659EC">
        <w:t>$</w:t>
      </w:r>
      <w:r w:rsidR="00FA52EA" w:rsidRPr="00FA52EA">
        <w:t>27,707,159.45</w:t>
      </w:r>
      <w:r w:rsidR="0039154A">
        <w:t xml:space="preserve"> </w:t>
      </w:r>
      <w:r w:rsidRPr="003659EC">
        <w:t xml:space="preserve">y la amortización acumulada de </w:t>
      </w:r>
      <w:r w:rsidR="00F14031" w:rsidRPr="003659EC">
        <w:t>$</w:t>
      </w:r>
      <w:r w:rsidR="00FA52EA" w:rsidRPr="00FA52EA">
        <w:t>4,516,114.20</w:t>
      </w:r>
      <w:r w:rsidR="0001723E" w:rsidRPr="003659EC">
        <w:t>.</w:t>
      </w:r>
      <w:r w:rsidR="00E51A28" w:rsidRPr="003659EC">
        <w:t xml:space="preserve"> </w:t>
      </w:r>
      <w:r w:rsidRPr="003659EC">
        <w:t xml:space="preserve">La depreciación y amortización </w:t>
      </w:r>
      <w:r w:rsidR="00C80D77" w:rsidRPr="003659EC">
        <w:t xml:space="preserve">al mes de </w:t>
      </w:r>
      <w:r w:rsidR="00F46F5E">
        <w:t>junio</w:t>
      </w:r>
      <w:r w:rsidR="0018131C">
        <w:t xml:space="preserve"> </w:t>
      </w:r>
      <w:r w:rsidR="004D463A" w:rsidRPr="003659EC">
        <w:t>d</w:t>
      </w:r>
      <w:r w:rsidR="00E51A28" w:rsidRPr="003659EC">
        <w:t>e 20</w:t>
      </w:r>
      <w:r w:rsidR="00E5295B" w:rsidRPr="003659EC">
        <w:t>20</w:t>
      </w:r>
      <w:r w:rsidR="00E51A28" w:rsidRPr="003659EC">
        <w:t xml:space="preserve"> es de </w:t>
      </w:r>
      <w:r w:rsidR="0039154A">
        <w:t>$</w:t>
      </w:r>
      <w:r w:rsidR="00FA52EA" w:rsidRPr="00FA52EA">
        <w:t>1,257,648.13</w:t>
      </w:r>
      <w:r w:rsidR="00FA52EA">
        <w:t xml:space="preserve"> </w:t>
      </w:r>
      <w:r w:rsidRPr="003659EC">
        <w:t xml:space="preserve">y </w:t>
      </w:r>
      <w:r w:rsidR="00B65EAA" w:rsidRPr="003659EC">
        <w:t>$</w:t>
      </w:r>
      <w:r w:rsidR="00FA52EA" w:rsidRPr="00FA52EA">
        <w:t>261,614.08</w:t>
      </w:r>
      <w:r w:rsidR="00B8688A">
        <w:t xml:space="preserve"> </w:t>
      </w:r>
      <w:r w:rsidRPr="003659EC">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0D3B1C24" w:rsidR="00B2580E" w:rsidRPr="00272BD4" w:rsidRDefault="007D6599" w:rsidP="00E5295B">
            <w:pPr>
              <w:pStyle w:val="ENCTAB"/>
              <w:spacing w:after="0"/>
              <w:rPr>
                <w:sz w:val="14"/>
                <w:szCs w:val="14"/>
              </w:rPr>
            </w:pPr>
            <w:r>
              <w:rPr>
                <w:sz w:val="14"/>
                <w:szCs w:val="14"/>
              </w:rPr>
              <w:t>20</w:t>
            </w:r>
            <w:r w:rsidR="00E5295B">
              <w:rPr>
                <w:sz w:val="14"/>
                <w:szCs w:val="14"/>
              </w:rPr>
              <w:t>20</w:t>
            </w:r>
          </w:p>
        </w:tc>
        <w:tc>
          <w:tcPr>
            <w:tcW w:w="1418" w:type="dxa"/>
            <w:shd w:val="clear" w:color="auto" w:fill="D2D3D5"/>
            <w:vAlign w:val="center"/>
          </w:tcPr>
          <w:p w14:paraId="52FFA307" w14:textId="02AE8703" w:rsidR="00B2580E" w:rsidRPr="00272BD4" w:rsidRDefault="007D6599" w:rsidP="00E5295B">
            <w:pPr>
              <w:pStyle w:val="ENCTAB"/>
              <w:spacing w:after="0"/>
              <w:rPr>
                <w:sz w:val="14"/>
                <w:szCs w:val="14"/>
              </w:rPr>
            </w:pPr>
            <w:r>
              <w:rPr>
                <w:sz w:val="14"/>
                <w:szCs w:val="14"/>
              </w:rPr>
              <w:t>2</w:t>
            </w:r>
            <w:r w:rsidR="0077226A">
              <w:rPr>
                <w:sz w:val="14"/>
                <w:szCs w:val="14"/>
              </w:rPr>
              <w:t>0</w:t>
            </w:r>
            <w:r w:rsidR="00E5295B">
              <w:rPr>
                <w:sz w:val="14"/>
                <w:szCs w:val="14"/>
              </w:rPr>
              <w:t>19</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9F50D5" w:rsidRPr="0063233F" w14:paraId="2ECF8144" w14:textId="77777777" w:rsidTr="009F50D5">
        <w:trPr>
          <w:trHeight w:val="280"/>
          <w:jc w:val="center"/>
        </w:trPr>
        <w:tc>
          <w:tcPr>
            <w:tcW w:w="5672" w:type="dxa"/>
            <w:vAlign w:val="center"/>
          </w:tcPr>
          <w:p w14:paraId="6F0177AC" w14:textId="152B3903" w:rsidR="009F50D5" w:rsidRPr="0063233F" w:rsidRDefault="009F50D5" w:rsidP="009F50D5">
            <w:pPr>
              <w:pStyle w:val="TEXTAB"/>
              <w:spacing w:after="0"/>
              <w:ind w:right="237"/>
              <w:rPr>
                <w:sz w:val="12"/>
                <w:szCs w:val="12"/>
                <w:lang w:val="es-ES_tradnl"/>
              </w:rPr>
            </w:pPr>
            <w:r>
              <w:rPr>
                <w:sz w:val="12"/>
                <w:szCs w:val="12"/>
                <w:lang w:val="es-ES_tradnl"/>
              </w:rPr>
              <w:t>MOBILIARIO Y EQUIPO DE ADMINISTRACIÓN</w:t>
            </w:r>
          </w:p>
        </w:tc>
        <w:tc>
          <w:tcPr>
            <w:tcW w:w="1418" w:type="dxa"/>
            <w:vAlign w:val="center"/>
          </w:tcPr>
          <w:p w14:paraId="2658FE18" w14:textId="5CC41342" w:rsidR="009F50D5" w:rsidRPr="0063233F" w:rsidRDefault="00F02436" w:rsidP="009F50D5">
            <w:pPr>
              <w:pStyle w:val="TEXTAB"/>
              <w:spacing w:after="0"/>
              <w:ind w:right="237"/>
              <w:jc w:val="right"/>
              <w:rPr>
                <w:sz w:val="12"/>
                <w:szCs w:val="12"/>
                <w:lang w:val="es-ES_tradnl"/>
              </w:rPr>
            </w:pPr>
            <w:r>
              <w:rPr>
                <w:sz w:val="12"/>
                <w:szCs w:val="12"/>
                <w:lang w:val="es-ES_tradnl"/>
              </w:rPr>
              <w:t>25,159,240.16</w:t>
            </w:r>
          </w:p>
        </w:tc>
        <w:tc>
          <w:tcPr>
            <w:tcW w:w="1418" w:type="dxa"/>
            <w:vAlign w:val="center"/>
          </w:tcPr>
          <w:p w14:paraId="3F18A06E" w14:textId="6BA62CC3" w:rsidR="009F50D5" w:rsidRPr="0063233F" w:rsidRDefault="00827488" w:rsidP="009F50D5">
            <w:pPr>
              <w:pStyle w:val="TEXTAB"/>
              <w:spacing w:after="0"/>
              <w:ind w:right="237"/>
              <w:jc w:val="right"/>
              <w:rPr>
                <w:sz w:val="12"/>
                <w:szCs w:val="12"/>
                <w:lang w:val="es-ES_tradnl"/>
              </w:rPr>
            </w:pPr>
            <w:r>
              <w:rPr>
                <w:sz w:val="12"/>
                <w:szCs w:val="12"/>
                <w:lang w:val="es-ES_tradnl"/>
              </w:rPr>
              <w:t>19,502,359.89</w:t>
            </w:r>
          </w:p>
        </w:tc>
      </w:tr>
      <w:tr w:rsidR="009F50D5" w:rsidRPr="0063233F" w14:paraId="7CABFE3B" w14:textId="77777777" w:rsidTr="009F50D5">
        <w:trPr>
          <w:trHeight w:val="280"/>
          <w:jc w:val="center"/>
        </w:trPr>
        <w:tc>
          <w:tcPr>
            <w:tcW w:w="5672" w:type="dxa"/>
            <w:vAlign w:val="center"/>
          </w:tcPr>
          <w:p w14:paraId="081FAB21" w14:textId="7CFA28E2" w:rsidR="009F50D5" w:rsidRDefault="009F50D5" w:rsidP="009F50D5">
            <w:pPr>
              <w:pStyle w:val="TEXTAB"/>
              <w:spacing w:after="0"/>
              <w:ind w:right="237"/>
              <w:rPr>
                <w:sz w:val="12"/>
                <w:szCs w:val="12"/>
                <w:lang w:val="es-ES_tradnl"/>
              </w:rPr>
            </w:pPr>
            <w:r>
              <w:rPr>
                <w:sz w:val="12"/>
                <w:szCs w:val="12"/>
                <w:lang w:val="es-ES_tradnl"/>
              </w:rPr>
              <w:t>MOBILIARIO Y EQUIPO EDUCACIONAL Y RECREATIVO</w:t>
            </w:r>
          </w:p>
        </w:tc>
        <w:tc>
          <w:tcPr>
            <w:tcW w:w="1418" w:type="dxa"/>
            <w:vAlign w:val="center"/>
          </w:tcPr>
          <w:p w14:paraId="41F4CAAF" w14:textId="18FDA603" w:rsidR="009F50D5" w:rsidRPr="0063233F" w:rsidRDefault="00F02436" w:rsidP="009F50D5">
            <w:pPr>
              <w:pStyle w:val="TEXTAB"/>
              <w:spacing w:after="0"/>
              <w:ind w:right="237"/>
              <w:jc w:val="right"/>
              <w:rPr>
                <w:sz w:val="12"/>
                <w:szCs w:val="12"/>
                <w:lang w:val="es-ES_tradnl"/>
              </w:rPr>
            </w:pPr>
            <w:r>
              <w:rPr>
                <w:sz w:val="12"/>
                <w:szCs w:val="12"/>
                <w:lang w:val="es-ES_tradnl"/>
              </w:rPr>
              <w:t>1,927,721.68</w:t>
            </w:r>
          </w:p>
        </w:tc>
        <w:tc>
          <w:tcPr>
            <w:tcW w:w="1418" w:type="dxa"/>
            <w:vAlign w:val="center"/>
          </w:tcPr>
          <w:p w14:paraId="6710702B" w14:textId="53150B7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1,464,710.99</w:t>
            </w:r>
          </w:p>
        </w:tc>
      </w:tr>
      <w:tr w:rsidR="009F50D5" w:rsidRPr="0063233F" w14:paraId="4EF9EA5C" w14:textId="77777777" w:rsidTr="009F50D5">
        <w:trPr>
          <w:trHeight w:val="280"/>
          <w:jc w:val="center"/>
        </w:trPr>
        <w:tc>
          <w:tcPr>
            <w:tcW w:w="5672" w:type="dxa"/>
            <w:vAlign w:val="center"/>
          </w:tcPr>
          <w:p w14:paraId="364544D5" w14:textId="23FF57D8" w:rsidR="009F50D5" w:rsidRDefault="009F50D5" w:rsidP="009F50D5">
            <w:pPr>
              <w:pStyle w:val="TEXTAB"/>
              <w:spacing w:after="0"/>
              <w:ind w:right="237"/>
              <w:rPr>
                <w:sz w:val="12"/>
                <w:szCs w:val="12"/>
                <w:lang w:val="es-ES_tradnl"/>
              </w:rPr>
            </w:pPr>
            <w:r>
              <w:rPr>
                <w:sz w:val="12"/>
                <w:szCs w:val="12"/>
                <w:lang w:val="es-ES_tradnl"/>
              </w:rPr>
              <w:t>EQUIPO DE TRANSPORTE</w:t>
            </w:r>
          </w:p>
        </w:tc>
        <w:tc>
          <w:tcPr>
            <w:tcW w:w="1418" w:type="dxa"/>
            <w:vAlign w:val="center"/>
          </w:tcPr>
          <w:p w14:paraId="1A6E6032" w14:textId="4766D53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c>
          <w:tcPr>
            <w:tcW w:w="1418" w:type="dxa"/>
            <w:vAlign w:val="center"/>
          </w:tcPr>
          <w:p w14:paraId="176D1637" w14:textId="00F58AA0"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r>
      <w:tr w:rsidR="009F50D5" w:rsidRPr="0063233F" w14:paraId="1E59AD85" w14:textId="77777777" w:rsidTr="009F50D5">
        <w:trPr>
          <w:trHeight w:val="280"/>
          <w:jc w:val="center"/>
        </w:trPr>
        <w:tc>
          <w:tcPr>
            <w:tcW w:w="5672" w:type="dxa"/>
            <w:tcBorders>
              <w:bottom w:val="nil"/>
            </w:tcBorders>
            <w:vAlign w:val="center"/>
          </w:tcPr>
          <w:p w14:paraId="699ED75B" w14:textId="15D9C91F" w:rsidR="009F50D5" w:rsidRPr="0063233F" w:rsidRDefault="009F50D5" w:rsidP="009F50D5">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vAlign w:val="center"/>
          </w:tcPr>
          <w:p w14:paraId="0DB8AD1B" w14:textId="6C2A10E8" w:rsidR="009F50D5" w:rsidRPr="0063233F" w:rsidRDefault="00F14031" w:rsidP="009F50D5">
            <w:pPr>
              <w:pStyle w:val="TEXTAB"/>
              <w:spacing w:after="0"/>
              <w:ind w:right="237"/>
              <w:jc w:val="right"/>
              <w:rPr>
                <w:sz w:val="12"/>
                <w:szCs w:val="12"/>
                <w:lang w:val="es-ES_tradnl"/>
              </w:rPr>
            </w:pPr>
            <w:r>
              <w:rPr>
                <w:sz w:val="12"/>
                <w:szCs w:val="12"/>
                <w:lang w:val="es-ES_tradnl"/>
              </w:rPr>
              <w:t>2,175,758.16</w:t>
            </w:r>
          </w:p>
        </w:tc>
        <w:tc>
          <w:tcPr>
            <w:tcW w:w="1418" w:type="dxa"/>
            <w:tcBorders>
              <w:bottom w:val="nil"/>
            </w:tcBorders>
            <w:vAlign w:val="center"/>
          </w:tcPr>
          <w:p w14:paraId="00D59FA2" w14:textId="63B0FC92"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1,969,758.16</w:t>
            </w:r>
          </w:p>
        </w:tc>
      </w:tr>
      <w:tr w:rsidR="009F50D5" w:rsidRPr="0063233F" w14:paraId="5FED17A5" w14:textId="77777777" w:rsidTr="009F50D5">
        <w:trPr>
          <w:trHeight w:val="280"/>
          <w:jc w:val="center"/>
        </w:trPr>
        <w:tc>
          <w:tcPr>
            <w:tcW w:w="5672" w:type="dxa"/>
            <w:tcBorders>
              <w:bottom w:val="nil"/>
            </w:tcBorders>
            <w:vAlign w:val="center"/>
          </w:tcPr>
          <w:p w14:paraId="71628C79" w14:textId="5F0560F5" w:rsidR="009F50D5" w:rsidRPr="0063233F" w:rsidRDefault="009F50D5" w:rsidP="009F50D5">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vAlign w:val="center"/>
          </w:tcPr>
          <w:p w14:paraId="6CB3FC65" w14:textId="04B79477"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c>
          <w:tcPr>
            <w:tcW w:w="1418" w:type="dxa"/>
            <w:tcBorders>
              <w:bottom w:val="single" w:sz="4" w:space="0" w:color="auto"/>
            </w:tcBorders>
            <w:vAlign w:val="center"/>
          </w:tcPr>
          <w:p w14:paraId="4FE6AFA4" w14:textId="13474D75"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21705743" w:rsidR="009F50D5" w:rsidRDefault="00F02436" w:rsidP="009F50D5">
            <w:pPr>
              <w:pStyle w:val="TEXTAB"/>
              <w:spacing w:after="0"/>
              <w:ind w:right="237"/>
              <w:jc w:val="right"/>
              <w:rPr>
                <w:sz w:val="12"/>
                <w:szCs w:val="12"/>
                <w:lang w:val="es-ES_tradnl"/>
              </w:rPr>
            </w:pPr>
            <w:r>
              <w:rPr>
                <w:sz w:val="12"/>
                <w:szCs w:val="12"/>
                <w:lang w:val="es-ES_tradnl"/>
              </w:rPr>
              <w:t>34,822,764.00</w:t>
            </w:r>
          </w:p>
        </w:tc>
        <w:tc>
          <w:tcPr>
            <w:tcW w:w="1418" w:type="dxa"/>
            <w:tcBorders>
              <w:top w:val="single" w:sz="4" w:space="0" w:color="auto"/>
            </w:tcBorders>
            <w:vAlign w:val="center"/>
          </w:tcPr>
          <w:p w14:paraId="41591F14" w14:textId="41494CC9" w:rsidR="009F50D5" w:rsidRDefault="00827488" w:rsidP="009F50D5">
            <w:pPr>
              <w:pStyle w:val="TEXTAB"/>
              <w:spacing w:after="0"/>
              <w:ind w:right="237"/>
              <w:jc w:val="right"/>
              <w:rPr>
                <w:sz w:val="12"/>
                <w:szCs w:val="12"/>
                <w:lang w:val="es-ES_tradnl"/>
              </w:rPr>
            </w:pPr>
            <w:r>
              <w:rPr>
                <w:sz w:val="12"/>
                <w:szCs w:val="12"/>
                <w:lang w:val="es-ES_tradnl"/>
              </w:rPr>
              <w:t>28,496,873.04</w:t>
            </w:r>
          </w:p>
        </w:tc>
      </w:tr>
      <w:tr w:rsidR="007D6599" w:rsidRPr="0063233F" w14:paraId="7694FCE1" w14:textId="77777777" w:rsidTr="006879D0">
        <w:trPr>
          <w:trHeight w:val="280"/>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D6599" w:rsidRPr="0063233F" w14:paraId="1DA17F72" w14:textId="77777777" w:rsidTr="00B100F9">
        <w:trPr>
          <w:trHeight w:val="114"/>
          <w:jc w:val="center"/>
        </w:trPr>
        <w:tc>
          <w:tcPr>
            <w:tcW w:w="5672" w:type="dxa"/>
            <w:tcBorders>
              <w:bottom w:val="nil"/>
            </w:tcBorders>
            <w:vAlign w:val="center"/>
          </w:tcPr>
          <w:p w14:paraId="25B0F274" w14:textId="6C6587C5" w:rsidR="007D6599" w:rsidRPr="0063233F" w:rsidRDefault="007D6599" w:rsidP="007D6599">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07DBCACA" w:rsidR="007D6599" w:rsidRPr="0063233F" w:rsidRDefault="007D6599" w:rsidP="007D6599">
            <w:pPr>
              <w:pStyle w:val="TEXTAB"/>
              <w:spacing w:after="0"/>
              <w:ind w:right="237"/>
              <w:jc w:val="right"/>
              <w:rPr>
                <w:sz w:val="12"/>
                <w:szCs w:val="12"/>
                <w:lang w:val="es-ES_tradnl"/>
              </w:rPr>
            </w:pPr>
            <w:r w:rsidRPr="007D6599">
              <w:rPr>
                <w:sz w:val="12"/>
                <w:szCs w:val="12"/>
                <w:lang w:val="es-ES_tradnl"/>
              </w:rPr>
              <w:t>36,297.21</w:t>
            </w:r>
          </w:p>
        </w:tc>
        <w:tc>
          <w:tcPr>
            <w:tcW w:w="1418" w:type="dxa"/>
            <w:tcBorders>
              <w:bottom w:val="nil"/>
            </w:tcBorders>
            <w:vAlign w:val="center"/>
          </w:tcPr>
          <w:p w14:paraId="38BBF48C" w14:textId="5631F427" w:rsidR="007D6599" w:rsidRPr="0063233F" w:rsidRDefault="007D6599" w:rsidP="007D6599">
            <w:pPr>
              <w:pStyle w:val="TEXTAB"/>
              <w:spacing w:after="0"/>
              <w:ind w:right="237"/>
              <w:jc w:val="right"/>
              <w:rPr>
                <w:sz w:val="12"/>
                <w:szCs w:val="12"/>
                <w:lang w:val="es-ES_tradnl"/>
              </w:rPr>
            </w:pPr>
            <w:r>
              <w:rPr>
                <w:sz w:val="12"/>
                <w:szCs w:val="12"/>
                <w:lang w:val="es-ES_tradnl"/>
              </w:rPr>
              <w:t>36,297.21</w:t>
            </w:r>
          </w:p>
        </w:tc>
      </w:tr>
      <w:tr w:rsidR="00B100F9" w:rsidRPr="0063233F" w14:paraId="0145A2A6" w14:textId="77777777" w:rsidTr="00B100F9">
        <w:trPr>
          <w:trHeight w:val="280"/>
          <w:jc w:val="center"/>
        </w:trPr>
        <w:tc>
          <w:tcPr>
            <w:tcW w:w="5672" w:type="dxa"/>
            <w:tcBorders>
              <w:bottom w:val="nil"/>
            </w:tcBorders>
            <w:vAlign w:val="center"/>
          </w:tcPr>
          <w:p w14:paraId="0CFE0C1C" w14:textId="0954A0C8" w:rsidR="00B100F9" w:rsidRDefault="00B100F9" w:rsidP="007D6599">
            <w:pPr>
              <w:pStyle w:val="TEXTAB"/>
              <w:spacing w:after="0"/>
              <w:ind w:right="237"/>
              <w:rPr>
                <w:sz w:val="12"/>
                <w:szCs w:val="12"/>
                <w:lang w:val="es-ES_tradnl"/>
              </w:rPr>
            </w:pPr>
            <w:r>
              <w:rPr>
                <w:sz w:val="12"/>
                <w:szCs w:val="12"/>
                <w:lang w:val="es-ES_tradnl"/>
              </w:rPr>
              <w:t>PATENTES, MARCAS Y DERECHOS</w:t>
            </w:r>
          </w:p>
        </w:tc>
        <w:tc>
          <w:tcPr>
            <w:tcW w:w="1418" w:type="dxa"/>
            <w:tcBorders>
              <w:bottom w:val="nil"/>
            </w:tcBorders>
            <w:vAlign w:val="center"/>
          </w:tcPr>
          <w:p w14:paraId="092358A7" w14:textId="0EA8E024" w:rsidR="00B100F9" w:rsidRDefault="00B100F9" w:rsidP="009F50D5">
            <w:pPr>
              <w:pStyle w:val="TEXTAB"/>
              <w:spacing w:after="0"/>
              <w:ind w:right="237"/>
              <w:jc w:val="right"/>
              <w:rPr>
                <w:sz w:val="12"/>
                <w:szCs w:val="12"/>
                <w:lang w:val="es-ES_tradnl"/>
              </w:rPr>
            </w:pPr>
            <w:r>
              <w:rPr>
                <w:sz w:val="12"/>
                <w:szCs w:val="12"/>
                <w:lang w:val="es-ES_tradnl"/>
              </w:rPr>
              <w:t>12,470.37</w:t>
            </w:r>
          </w:p>
        </w:tc>
        <w:tc>
          <w:tcPr>
            <w:tcW w:w="1418" w:type="dxa"/>
            <w:tcBorders>
              <w:bottom w:val="nil"/>
            </w:tcBorders>
            <w:vAlign w:val="center"/>
          </w:tcPr>
          <w:p w14:paraId="2C0CC746" w14:textId="677D6217" w:rsidR="00B100F9" w:rsidRDefault="00B100F9" w:rsidP="00760AC5">
            <w:pPr>
              <w:pStyle w:val="TEXTAB"/>
              <w:spacing w:after="0"/>
              <w:ind w:right="237"/>
              <w:jc w:val="right"/>
              <w:rPr>
                <w:sz w:val="12"/>
                <w:szCs w:val="12"/>
                <w:lang w:val="es-ES_tradnl"/>
              </w:rPr>
            </w:pPr>
            <w:r>
              <w:rPr>
                <w:sz w:val="12"/>
                <w:szCs w:val="12"/>
                <w:lang w:val="es-ES_tradnl"/>
              </w:rPr>
              <w:t>0.00</w:t>
            </w:r>
          </w:p>
        </w:tc>
      </w:tr>
      <w:tr w:rsidR="007D6599" w:rsidRPr="0063233F" w14:paraId="5523950B" w14:textId="77777777" w:rsidTr="00B100F9">
        <w:trPr>
          <w:trHeight w:val="280"/>
          <w:jc w:val="center"/>
        </w:trPr>
        <w:tc>
          <w:tcPr>
            <w:tcW w:w="5672" w:type="dxa"/>
            <w:tcBorders>
              <w:bottom w:val="nil"/>
            </w:tcBorders>
            <w:vAlign w:val="center"/>
          </w:tcPr>
          <w:p w14:paraId="57A2F10F" w14:textId="0E167892" w:rsidR="007D6599" w:rsidRPr="0063233F" w:rsidRDefault="007D6599" w:rsidP="007D6599">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vAlign w:val="center"/>
          </w:tcPr>
          <w:p w14:paraId="2106B294" w14:textId="67C6D684" w:rsidR="007D6599" w:rsidRPr="0063233F" w:rsidRDefault="00FA52EA" w:rsidP="009F50D5">
            <w:pPr>
              <w:pStyle w:val="TEXTAB"/>
              <w:spacing w:after="0"/>
              <w:ind w:right="237"/>
              <w:jc w:val="right"/>
              <w:rPr>
                <w:sz w:val="12"/>
                <w:szCs w:val="12"/>
                <w:lang w:val="es-ES_tradnl"/>
              </w:rPr>
            </w:pPr>
            <w:r w:rsidRPr="00FA52EA">
              <w:rPr>
                <w:sz w:val="12"/>
                <w:szCs w:val="12"/>
                <w:lang w:val="es-ES_tradnl"/>
              </w:rPr>
              <w:t>4,756,575.12</w:t>
            </w:r>
          </w:p>
        </w:tc>
        <w:tc>
          <w:tcPr>
            <w:tcW w:w="1418" w:type="dxa"/>
            <w:tcBorders>
              <w:top w:val="nil"/>
              <w:bottom w:val="single" w:sz="4" w:space="0" w:color="auto"/>
            </w:tcBorders>
            <w:vAlign w:val="center"/>
          </w:tcPr>
          <w:p w14:paraId="18FDA159" w14:textId="7222C095" w:rsidR="007D6599" w:rsidRPr="0063233F" w:rsidRDefault="003E382C" w:rsidP="00760AC5">
            <w:pPr>
              <w:pStyle w:val="TEXTAB"/>
              <w:spacing w:after="0"/>
              <w:ind w:right="237"/>
              <w:jc w:val="right"/>
              <w:rPr>
                <w:sz w:val="12"/>
                <w:szCs w:val="12"/>
                <w:lang w:val="es-ES_tradnl"/>
              </w:rPr>
            </w:pPr>
            <w:r>
              <w:rPr>
                <w:sz w:val="12"/>
                <w:szCs w:val="12"/>
                <w:lang w:val="es-ES_tradnl"/>
              </w:rPr>
              <w:t>4,303,201.25</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15D1001C" w:rsidR="007D6599" w:rsidRDefault="00FA52EA" w:rsidP="007D6599">
            <w:pPr>
              <w:pStyle w:val="TEXTAB"/>
              <w:spacing w:after="0"/>
              <w:ind w:right="237"/>
              <w:jc w:val="right"/>
              <w:rPr>
                <w:sz w:val="12"/>
                <w:szCs w:val="12"/>
                <w:lang w:val="es-ES_tradnl"/>
              </w:rPr>
            </w:pPr>
            <w:r w:rsidRPr="00FA52EA">
              <w:rPr>
                <w:sz w:val="12"/>
                <w:szCs w:val="12"/>
                <w:lang w:val="es-ES_tradnl"/>
              </w:rPr>
              <w:t>4,805,342.70</w:t>
            </w:r>
          </w:p>
        </w:tc>
        <w:tc>
          <w:tcPr>
            <w:tcW w:w="1418" w:type="dxa"/>
            <w:tcBorders>
              <w:top w:val="single" w:sz="4" w:space="0" w:color="auto"/>
              <w:bottom w:val="double" w:sz="4" w:space="0" w:color="auto"/>
            </w:tcBorders>
            <w:vAlign w:val="center"/>
          </w:tcPr>
          <w:p w14:paraId="36AA7828" w14:textId="3739B79D" w:rsidR="007D6599" w:rsidRDefault="003E382C" w:rsidP="007D6599">
            <w:pPr>
              <w:pStyle w:val="TEXTAB"/>
              <w:spacing w:after="0"/>
              <w:ind w:right="237"/>
              <w:jc w:val="right"/>
              <w:rPr>
                <w:sz w:val="12"/>
                <w:szCs w:val="12"/>
                <w:lang w:val="es-ES_tradnl"/>
              </w:rPr>
            </w:pPr>
            <w:r>
              <w:rPr>
                <w:sz w:val="12"/>
                <w:szCs w:val="12"/>
                <w:lang w:val="es-ES_tradnl"/>
              </w:rPr>
              <w:t>4,339,498.46</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34BED343" w:rsidR="007D6599" w:rsidRPr="0063233F" w:rsidRDefault="00B100F9" w:rsidP="00FA52EA">
            <w:pPr>
              <w:pStyle w:val="TEXTAB"/>
              <w:spacing w:after="0"/>
              <w:ind w:right="237"/>
              <w:jc w:val="right"/>
              <w:rPr>
                <w:sz w:val="12"/>
                <w:szCs w:val="12"/>
                <w:lang w:val="es-ES_tradnl"/>
              </w:rPr>
            </w:pPr>
            <w:r>
              <w:rPr>
                <w:sz w:val="12"/>
                <w:szCs w:val="12"/>
                <w:lang w:val="es-ES_tradnl"/>
              </w:rPr>
              <w:t>39,</w:t>
            </w:r>
            <w:r w:rsidR="00FA52EA">
              <w:rPr>
                <w:sz w:val="12"/>
                <w:szCs w:val="12"/>
                <w:lang w:val="es-ES_tradnl"/>
              </w:rPr>
              <w:t>628</w:t>
            </w:r>
            <w:r>
              <w:rPr>
                <w:sz w:val="12"/>
                <w:szCs w:val="12"/>
                <w:lang w:val="es-ES_tradnl"/>
              </w:rPr>
              <w:t>,</w:t>
            </w:r>
            <w:r w:rsidR="00FA52EA">
              <w:rPr>
                <w:sz w:val="12"/>
                <w:szCs w:val="12"/>
                <w:lang w:val="es-ES_tradnl"/>
              </w:rPr>
              <w:t>106.70</w:t>
            </w:r>
          </w:p>
        </w:tc>
        <w:tc>
          <w:tcPr>
            <w:tcW w:w="1418" w:type="dxa"/>
            <w:shd w:val="clear" w:color="auto" w:fill="D2D3D5"/>
            <w:vAlign w:val="center"/>
          </w:tcPr>
          <w:p w14:paraId="02527ECF" w14:textId="5E72D929" w:rsidR="007D6599" w:rsidRPr="0063233F" w:rsidRDefault="003E382C" w:rsidP="007D6599">
            <w:pPr>
              <w:pStyle w:val="TEXTAB"/>
              <w:spacing w:after="0"/>
              <w:ind w:right="237"/>
              <w:jc w:val="right"/>
              <w:rPr>
                <w:sz w:val="12"/>
                <w:szCs w:val="12"/>
                <w:lang w:val="es-ES_tradnl"/>
              </w:rPr>
            </w:pPr>
            <w:r>
              <w:rPr>
                <w:sz w:val="12"/>
                <w:szCs w:val="12"/>
                <w:lang w:val="es-ES_tradnl"/>
              </w:rPr>
              <w:t>32,836,371.50</w:t>
            </w:r>
          </w:p>
        </w:tc>
      </w:tr>
    </w:tbl>
    <w:p w14:paraId="30C4FFD0" w14:textId="77777777" w:rsidR="00B2580E" w:rsidRDefault="00B2580E" w:rsidP="00B2580E">
      <w:pPr>
        <w:pStyle w:val="documento"/>
      </w:pPr>
    </w:p>
    <w:p w14:paraId="7DB85173" w14:textId="77777777" w:rsidR="00CE5991" w:rsidRDefault="00CE5991" w:rsidP="00254975">
      <w:pPr>
        <w:pStyle w:val="documento"/>
        <w:tabs>
          <w:tab w:val="left" w:pos="567"/>
        </w:tabs>
      </w:pPr>
    </w:p>
    <w:p w14:paraId="2460CC9C" w14:textId="65CA342C" w:rsidR="00A42B67" w:rsidRPr="001A3EEA" w:rsidRDefault="00A81C3E" w:rsidP="00254975">
      <w:pPr>
        <w:pStyle w:val="documento"/>
        <w:tabs>
          <w:tab w:val="left" w:pos="567"/>
        </w:tabs>
      </w:pPr>
      <w:r w:rsidRPr="00DA5BCE">
        <w:t>Por lo que respecta al equipo de t</w:t>
      </w:r>
      <w:r w:rsidR="00A42B67" w:rsidRPr="00DA5BCE">
        <w:t>ransporte</w:t>
      </w:r>
      <w:r w:rsidRPr="00DA5BCE">
        <w:t xml:space="preserve">, en el importe de $5,528,782.00, se encuentra incluido el </w:t>
      </w:r>
      <w:r w:rsidR="00CE5991" w:rsidRPr="00DA5BCE">
        <w:t xml:space="preserve">valor de </w:t>
      </w:r>
      <w:r w:rsidRPr="00DA5BCE">
        <w:t>un Tsuru modelo 2013 con placas 459YUD</w:t>
      </w:r>
      <w:r w:rsidR="00CE5991" w:rsidRPr="00DA5BCE">
        <w:t xml:space="preserve"> </w:t>
      </w:r>
      <w:r w:rsidRPr="00DA5BCE">
        <w:t xml:space="preserve"> con un valor de adquisición de $137,300.00 y un Sentra Advance CVT modelo 2015 con placas F39AAS, con un costo de adquisición de $256,100.00,  los cuales fueron robados </w:t>
      </w:r>
      <w:r w:rsidR="00713107" w:rsidRPr="00DA5BCE">
        <w:t xml:space="preserve">los </w:t>
      </w:r>
      <w:r w:rsidRPr="00DA5BCE">
        <w:t>día</w:t>
      </w:r>
      <w:r w:rsidR="00713107" w:rsidRPr="00DA5BCE">
        <w:t>s</w:t>
      </w:r>
      <w:r w:rsidRPr="00DA5BCE">
        <w:t xml:space="preserve"> </w:t>
      </w:r>
      <w:r w:rsidR="00CE5991" w:rsidRPr="00DA5BCE">
        <w:t xml:space="preserve">23 de mayo de </w:t>
      </w:r>
      <w:r w:rsidRPr="00DA5BCE">
        <w:t xml:space="preserve">2014 y 8 de octubre del 2015, </w:t>
      </w:r>
      <w:r w:rsidR="00CE5991" w:rsidRPr="001A3EEA">
        <w:t xml:space="preserve">respectivamente. Las unidades </w:t>
      </w:r>
      <w:r w:rsidR="00713107" w:rsidRPr="001A3EEA">
        <w:t xml:space="preserve">se encuentran </w:t>
      </w:r>
      <w:r w:rsidR="00DA5BCE" w:rsidRPr="001A3EEA">
        <w:t>considerada</w:t>
      </w:r>
      <w:r w:rsidR="006848F0" w:rsidRPr="001A3EEA">
        <w:t>s en e</w:t>
      </w:r>
      <w:r w:rsidR="00713107" w:rsidRPr="001A3EEA">
        <w:t xml:space="preserve">l </w:t>
      </w:r>
      <w:r w:rsidR="00DA5BCE" w:rsidRPr="001A3EEA">
        <w:t xml:space="preserve">total del </w:t>
      </w:r>
      <w:r w:rsidR="00713107" w:rsidRPr="001A3EEA">
        <w:t xml:space="preserve">activo </w:t>
      </w:r>
      <w:r w:rsidR="00713107" w:rsidRPr="001A3EEA">
        <w:lastRenderedPageBreak/>
        <w:t xml:space="preserve">hasta </w:t>
      </w:r>
      <w:r w:rsidR="00DA5BCE" w:rsidRPr="001A3EEA">
        <w:t xml:space="preserve">que </w:t>
      </w:r>
      <w:r w:rsidR="00713107" w:rsidRPr="001A3EEA">
        <w:t xml:space="preserve">se </w:t>
      </w:r>
      <w:r w:rsidR="00411532" w:rsidRPr="001A3EEA">
        <w:t xml:space="preserve">realicen las gestiones estipuladas en </w:t>
      </w:r>
      <w:r w:rsidR="00713107" w:rsidRPr="001A3EEA">
        <w:t>los “</w:t>
      </w:r>
      <w:r w:rsidR="00C80D77" w:rsidRPr="001A3EEA">
        <w:rPr>
          <w:b/>
        </w:rPr>
        <w:t>Lineamientos para la Administración, Destino Final y Baja de Bienes Muebles</w:t>
      </w:r>
      <w:r w:rsidR="008C3AED" w:rsidRPr="001A3EEA">
        <w:rPr>
          <w:b/>
        </w:rPr>
        <w:t xml:space="preserve"> y el Manual de Integración y Comité de Bienes Muebles </w:t>
      </w:r>
      <w:r w:rsidR="00C80D77" w:rsidRPr="001A3EEA">
        <w:rPr>
          <w:b/>
        </w:rPr>
        <w:t>del Instituto de Transparencia, Acceso a la Información Pública, Protección de Datos Personales y Rendición de Cuentas de la Ciudad de México</w:t>
      </w:r>
      <w:r w:rsidR="00713107" w:rsidRPr="001A3EEA">
        <w:rPr>
          <w:b/>
        </w:rPr>
        <w:t>”</w:t>
      </w:r>
      <w:r w:rsidR="006848F0" w:rsidRPr="001A3EEA">
        <w:rPr>
          <w:b/>
        </w:rPr>
        <w:t xml:space="preserve"> </w:t>
      </w:r>
      <w:r w:rsidR="008C3AED" w:rsidRPr="001A3EEA">
        <w:t>aprobado</w:t>
      </w:r>
      <w:r w:rsidR="001A3EEA">
        <w:t>s</w:t>
      </w:r>
      <w:r w:rsidR="008C3AED" w:rsidRPr="001A3EEA">
        <w:t xml:space="preserve"> mediante acuerdo 3292/SO/23-10/2019, </w:t>
      </w:r>
      <w:r w:rsidR="00411532" w:rsidRPr="001A3EEA">
        <w:t>para su respectiva baja.</w:t>
      </w:r>
    </w:p>
    <w:p w14:paraId="7EA645EA" w14:textId="77777777" w:rsidR="006848F0" w:rsidRPr="001A3EEA" w:rsidRDefault="006848F0" w:rsidP="00254975">
      <w:pPr>
        <w:pStyle w:val="documento"/>
        <w:tabs>
          <w:tab w:val="left" w:pos="567"/>
        </w:tabs>
      </w:pPr>
    </w:p>
    <w:p w14:paraId="2ADFAA14" w14:textId="77777777" w:rsidR="00B2580E" w:rsidRPr="00D6225D" w:rsidRDefault="00B2580E" w:rsidP="00B2580E">
      <w:pPr>
        <w:pStyle w:val="documento"/>
        <w:rPr>
          <w:b/>
        </w:rPr>
      </w:pPr>
      <w:r w:rsidRPr="00D6225D">
        <w:rPr>
          <w:b/>
        </w:rPr>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Corresponde a 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800"/>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1BD6F689" w:rsidR="00E21E85" w:rsidRPr="00E20CDA" w:rsidRDefault="00F46F5E" w:rsidP="006E0363">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0.00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2A629F72" w:rsidR="00E21E85" w:rsidRPr="00E20CDA" w:rsidRDefault="00F46F5E" w:rsidP="00CE569D">
            <w:pPr>
              <w:spacing w:after="0" w:line="240" w:lineRule="auto"/>
              <w:ind w:left="0" w:right="380" w:firstLine="0"/>
              <w:jc w:val="right"/>
              <w:rPr>
                <w:rFonts w:ascii="Gotham Rounded Book" w:hAnsi="Gotham Rounded Book"/>
                <w:sz w:val="20"/>
                <w:szCs w:val="20"/>
              </w:rPr>
            </w:pPr>
            <w:r w:rsidRPr="00F46F5E">
              <w:rPr>
                <w:rFonts w:ascii="Gotham Rounded Book" w:hAnsi="Gotham Rounded Book"/>
                <w:sz w:val="20"/>
                <w:szCs w:val="20"/>
              </w:rPr>
              <w:t>173,397.28</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05766739" w:rsidR="00A952F6" w:rsidRPr="00F03781" w:rsidRDefault="00F46F5E" w:rsidP="00CE569D">
            <w:pPr>
              <w:spacing w:after="0" w:line="240" w:lineRule="auto"/>
              <w:ind w:left="0" w:right="380" w:firstLine="0"/>
              <w:jc w:val="right"/>
              <w:rPr>
                <w:rFonts w:ascii="Gotham Rounded Book" w:hAnsi="Gotham Rounded Book"/>
                <w:sz w:val="20"/>
                <w:szCs w:val="20"/>
              </w:rPr>
            </w:pPr>
            <w:r w:rsidRPr="00F46F5E">
              <w:rPr>
                <w:rFonts w:ascii="Gotham Rounded Book" w:hAnsi="Gotham Rounded Book"/>
                <w:sz w:val="20"/>
                <w:szCs w:val="20"/>
              </w:rPr>
              <w:t>650,382.53</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48E1473A" w:rsidR="00E21E85" w:rsidRPr="00A952F6" w:rsidRDefault="00F46F5E" w:rsidP="00CE569D">
            <w:pPr>
              <w:spacing w:after="0" w:line="240" w:lineRule="auto"/>
              <w:ind w:left="0" w:right="380" w:firstLine="0"/>
              <w:jc w:val="right"/>
              <w:rPr>
                <w:rFonts w:ascii="Gotham Rounded Book" w:hAnsi="Gotham Rounded Book"/>
                <w:sz w:val="20"/>
                <w:szCs w:val="20"/>
              </w:rPr>
            </w:pPr>
            <w:r w:rsidRPr="00F46F5E">
              <w:rPr>
                <w:rFonts w:ascii="Gotham Rounded Book" w:hAnsi="Gotham Rounded Book"/>
                <w:sz w:val="20"/>
                <w:szCs w:val="20"/>
              </w:rPr>
              <w:t>179,469.56</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2F722424" w:rsidR="00A952F6" w:rsidRPr="00A952F6" w:rsidRDefault="00F46F5E" w:rsidP="00834787">
            <w:pPr>
              <w:spacing w:after="0" w:line="240" w:lineRule="auto"/>
              <w:ind w:left="0" w:right="380" w:firstLine="0"/>
              <w:jc w:val="right"/>
              <w:rPr>
                <w:rFonts w:ascii="Gotham Rounded Book" w:hAnsi="Gotham Rounded Book"/>
                <w:sz w:val="20"/>
                <w:szCs w:val="20"/>
              </w:rPr>
            </w:pPr>
            <w:r w:rsidRPr="00F46F5E">
              <w:rPr>
                <w:rFonts w:ascii="Gotham Rounded Book" w:hAnsi="Gotham Rounded Book"/>
                <w:sz w:val="20"/>
                <w:szCs w:val="20"/>
              </w:rPr>
              <w:t>105,840.96</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7FBA76F2" w:rsidR="00E21E85" w:rsidRPr="00C95A40" w:rsidRDefault="00E21E85" w:rsidP="00F46F5E">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F46F5E" w:rsidRPr="00F46F5E">
              <w:rPr>
                <w:rFonts w:ascii="Gotham Rounded Book" w:hAnsi="Gotham Rounded Book"/>
                <w:b/>
                <w:sz w:val="20"/>
                <w:szCs w:val="20"/>
              </w:rPr>
              <w:t>1,109,090.33</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7534C469" w:rsidR="002D581E" w:rsidRPr="00E20CDA" w:rsidRDefault="008B1982" w:rsidP="00223CE3">
            <w:pPr>
              <w:tabs>
                <w:tab w:val="left" w:pos="1631"/>
              </w:tabs>
              <w:spacing w:after="0" w:line="240" w:lineRule="auto"/>
              <w:ind w:left="0" w:right="282" w:firstLine="0"/>
              <w:jc w:val="right"/>
              <w:rPr>
                <w:rFonts w:ascii="Gotham Rounded Book" w:hAnsi="Gotham Rounded Book"/>
                <w:sz w:val="20"/>
                <w:szCs w:val="20"/>
              </w:rPr>
            </w:pPr>
            <w:r w:rsidRPr="008B1982">
              <w:rPr>
                <w:rFonts w:ascii="Gotham Rounded Book" w:hAnsi="Gotham Rounded Book"/>
                <w:sz w:val="20"/>
                <w:szCs w:val="20"/>
              </w:rPr>
              <w:t>1,642,338.21</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7AA08256" w:rsidR="006E0363" w:rsidRDefault="00D15155" w:rsidP="009B3289">
            <w:pPr>
              <w:spacing w:after="0" w:line="240" w:lineRule="auto"/>
              <w:ind w:left="0" w:right="74" w:firstLine="0"/>
              <w:jc w:val="right"/>
              <w:rPr>
                <w:rFonts w:ascii="Gotham Rounded Book" w:hAnsi="Gotham Rounded Book"/>
                <w:sz w:val="20"/>
                <w:szCs w:val="20"/>
              </w:rPr>
            </w:pPr>
            <w:r w:rsidRPr="00D15155">
              <w:rPr>
                <w:rFonts w:ascii="Gotham Rounded Book" w:hAnsi="Gotham Rounded Book"/>
                <w:sz w:val="20"/>
                <w:szCs w:val="20"/>
              </w:rPr>
              <w:t>2,352.50</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045FE08A" w:rsidR="00421273" w:rsidRDefault="008B1982" w:rsidP="009B3289">
            <w:pPr>
              <w:spacing w:after="0" w:line="240" w:lineRule="auto"/>
              <w:ind w:left="0" w:right="74" w:firstLine="0"/>
              <w:jc w:val="right"/>
              <w:rPr>
                <w:rFonts w:ascii="Gotham Rounded Book" w:hAnsi="Gotham Rounded Book"/>
                <w:sz w:val="20"/>
                <w:szCs w:val="20"/>
              </w:rPr>
            </w:pPr>
            <w:r w:rsidRPr="008B1982">
              <w:rPr>
                <w:rFonts w:ascii="Gotham Rounded Book" w:hAnsi="Gotham Rounded Book"/>
                <w:sz w:val="20"/>
                <w:szCs w:val="20"/>
              </w:rPr>
              <w:t>1,766.28</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6D35D34A" w:rsidR="00D15155" w:rsidRDefault="008B1982" w:rsidP="009B3289">
            <w:pPr>
              <w:spacing w:after="0" w:line="240" w:lineRule="auto"/>
              <w:ind w:left="0" w:right="74" w:firstLine="0"/>
              <w:jc w:val="right"/>
              <w:rPr>
                <w:rFonts w:ascii="Gotham Rounded Book" w:hAnsi="Gotham Rounded Book"/>
                <w:sz w:val="20"/>
                <w:szCs w:val="20"/>
              </w:rPr>
            </w:pPr>
            <w:r w:rsidRPr="008B1982">
              <w:rPr>
                <w:rFonts w:ascii="Gotham Rounded Book" w:hAnsi="Gotham Rounded Book"/>
                <w:sz w:val="20"/>
                <w:szCs w:val="20"/>
              </w:rPr>
              <w:t>13,895.04</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3824DD9E" w:rsidR="00343239" w:rsidRPr="007F4D69" w:rsidRDefault="00CD552C"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66F60600" w:rsidR="00343239" w:rsidRPr="007F4D69" w:rsidRDefault="008B1982"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7956BE7A" w:rsidR="00343239" w:rsidRPr="007F4D69" w:rsidRDefault="00CD552C" w:rsidP="00726C0D">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44F7B0D3" w:rsidR="00343239" w:rsidRPr="007F4D69" w:rsidRDefault="008B1982" w:rsidP="009B3289">
            <w:pPr>
              <w:spacing w:after="0" w:line="240" w:lineRule="auto"/>
              <w:ind w:left="0" w:right="74" w:firstLine="0"/>
              <w:jc w:val="right"/>
              <w:rPr>
                <w:rFonts w:ascii="Gotham Rounded Book" w:hAnsi="Gotham Rounded Book"/>
                <w:sz w:val="20"/>
                <w:szCs w:val="20"/>
              </w:rPr>
            </w:pPr>
            <w:r w:rsidRPr="008B1982">
              <w:rPr>
                <w:rFonts w:ascii="Gotham Rounded Book" w:hAnsi="Gotham Rounded Book"/>
                <w:sz w:val="20"/>
                <w:szCs w:val="20"/>
              </w:rPr>
              <w:t>216,139.51</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6CE43879" w:rsidR="00343239" w:rsidRPr="007F4D69" w:rsidRDefault="008B1982"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6D475AB4" w:rsidR="007F4D69" w:rsidRPr="007F4D69" w:rsidRDefault="008B1982" w:rsidP="009B3289">
            <w:pPr>
              <w:spacing w:after="0" w:line="240" w:lineRule="auto"/>
              <w:ind w:left="0" w:right="74" w:firstLine="0"/>
              <w:jc w:val="right"/>
              <w:rPr>
                <w:rFonts w:ascii="Gotham Rounded Book" w:hAnsi="Gotham Rounded Book"/>
                <w:sz w:val="20"/>
                <w:szCs w:val="20"/>
              </w:rPr>
            </w:pPr>
            <w:r w:rsidRPr="008B1982">
              <w:rPr>
                <w:rFonts w:ascii="Gotham Rounded Book" w:hAnsi="Gotham Rounded Book"/>
                <w:sz w:val="20"/>
                <w:szCs w:val="20"/>
              </w:rPr>
              <w:t>238,875.03</w:t>
            </w:r>
          </w:p>
        </w:tc>
      </w:tr>
      <w:tr w:rsidR="007F4D69" w:rsidRPr="007F4D69" w14:paraId="594829AB"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4A2A136" w14:textId="68C64AD1" w:rsidR="007F4D69" w:rsidRPr="00E20CDA" w:rsidRDefault="007F4D69" w:rsidP="00584F90">
            <w:pPr>
              <w:spacing w:after="0" w:line="240" w:lineRule="auto"/>
              <w:ind w:left="72" w:firstLine="0"/>
              <w:rPr>
                <w:rFonts w:ascii="Arial" w:eastAsia="Times New Roman" w:hAnsi="Arial" w:cs="Arial"/>
                <w:sz w:val="20"/>
                <w:szCs w:val="20"/>
                <w:lang w:eastAsia="es-MX"/>
              </w:rPr>
            </w:pPr>
            <w:r w:rsidRPr="007F4D69">
              <w:rPr>
                <w:rFonts w:ascii="Arial" w:eastAsia="Times New Roman" w:hAnsi="Arial" w:cs="Arial"/>
                <w:sz w:val="20"/>
                <w:szCs w:val="20"/>
                <w:lang w:eastAsia="es-MX"/>
              </w:rPr>
              <w:t>S</w:t>
            </w:r>
            <w:r>
              <w:rPr>
                <w:rFonts w:ascii="Arial" w:eastAsia="Times New Roman" w:hAnsi="Arial" w:cs="Arial"/>
                <w:sz w:val="20"/>
                <w:szCs w:val="20"/>
                <w:lang w:eastAsia="es-MX"/>
              </w:rPr>
              <w:t>eguro de Vida</w:t>
            </w:r>
          </w:p>
        </w:tc>
        <w:tc>
          <w:tcPr>
            <w:tcW w:w="1494" w:type="dxa"/>
            <w:gridSpan w:val="3"/>
            <w:tcBorders>
              <w:left w:val="nil"/>
              <w:right w:val="nil"/>
            </w:tcBorders>
            <w:shd w:val="clear" w:color="auto" w:fill="auto"/>
            <w:noWrap/>
            <w:vAlign w:val="bottom"/>
          </w:tcPr>
          <w:p w14:paraId="6E0F3A9A" w14:textId="0FD6447C" w:rsidR="007F4D69" w:rsidRPr="007F4D69" w:rsidRDefault="00CD552C"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r w:rsidRPr="00CA643A">
              <w:rPr>
                <w:rFonts w:ascii="Gotham Rounded Book" w:hAnsi="Gotham Rounded Book"/>
                <w:sz w:val="20"/>
                <w:szCs w:val="20"/>
              </w:rPr>
              <w:t>Fonacot</w:t>
            </w:r>
          </w:p>
        </w:tc>
        <w:tc>
          <w:tcPr>
            <w:tcW w:w="1494" w:type="dxa"/>
            <w:gridSpan w:val="3"/>
            <w:tcBorders>
              <w:left w:val="nil"/>
              <w:right w:val="nil"/>
            </w:tcBorders>
            <w:shd w:val="clear" w:color="auto" w:fill="auto"/>
            <w:noWrap/>
            <w:vAlign w:val="bottom"/>
          </w:tcPr>
          <w:p w14:paraId="26F1BF50" w14:textId="153EB6D6" w:rsidR="007F4D69" w:rsidRPr="00CA643A" w:rsidRDefault="006E0363" w:rsidP="00CA643A">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656F933D" w:rsidR="00584F90" w:rsidRPr="00584F90" w:rsidRDefault="008B1982" w:rsidP="00584F90">
            <w:pPr>
              <w:spacing w:after="0" w:line="240" w:lineRule="auto"/>
              <w:ind w:left="0" w:right="74" w:firstLine="0"/>
              <w:jc w:val="right"/>
              <w:rPr>
                <w:rFonts w:ascii="Gotham Rounded Book" w:hAnsi="Gotham Rounded Book"/>
                <w:sz w:val="20"/>
                <w:szCs w:val="20"/>
              </w:rPr>
            </w:pPr>
            <w:r w:rsidRPr="008B1982">
              <w:rPr>
                <w:rFonts w:ascii="Gotham Rounded Book" w:hAnsi="Gotham Rounded Book"/>
                <w:sz w:val="20"/>
                <w:szCs w:val="20"/>
              </w:rPr>
              <w:t>32,566.19</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79C4B508" w:rsidR="00BB76D0" w:rsidRPr="00E05A89" w:rsidRDefault="00BB76D0" w:rsidP="008B1982">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8B1982" w:rsidRPr="008B1982">
              <w:rPr>
                <w:rFonts w:ascii="Gotham Rounded Book" w:hAnsi="Gotham Rounded Book"/>
                <w:b/>
                <w:sz w:val="20"/>
                <w:szCs w:val="20"/>
              </w:rPr>
              <w:t>2,147,932.76</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2C8CC32C" w:rsidR="00BB76D0" w:rsidRPr="00E20CDA" w:rsidRDefault="004F0C34" w:rsidP="00BB76D0">
            <w:pPr>
              <w:spacing w:after="0" w:line="240" w:lineRule="auto"/>
              <w:ind w:left="0" w:firstLine="0"/>
              <w:jc w:val="right"/>
              <w:rPr>
                <w:rFonts w:ascii="Gotham Rounded Book" w:hAnsi="Gotham Rounded Book"/>
                <w:sz w:val="20"/>
                <w:szCs w:val="20"/>
              </w:rPr>
            </w:pPr>
            <w:r w:rsidRPr="004F0C34">
              <w:rPr>
                <w:rFonts w:ascii="Gotham Rounded Book" w:hAnsi="Gotham Rounded Book"/>
                <w:sz w:val="20"/>
                <w:szCs w:val="20"/>
              </w:rPr>
              <w:t>191,409.29</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3BAA160B"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22,489.75</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417" w:type="dxa"/>
            <w:gridSpan w:val="2"/>
            <w:tcBorders>
              <w:top w:val="nil"/>
              <w:left w:val="nil"/>
              <w:right w:val="nil"/>
            </w:tcBorders>
            <w:shd w:val="clear" w:color="auto" w:fill="auto"/>
            <w:noWrap/>
            <w:vAlign w:val="bottom"/>
            <w:hideMark/>
          </w:tcPr>
          <w:p w14:paraId="32278546"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202,915.04</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497D196B" w:rsidR="00BB76D0" w:rsidRPr="004E31C5" w:rsidRDefault="00BB76D0" w:rsidP="00854F64">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4F0C34" w:rsidRPr="004F0C34">
              <w:rPr>
                <w:rFonts w:ascii="Gotham Rounded Book" w:hAnsi="Gotham Rounded Book"/>
                <w:b/>
                <w:sz w:val="20"/>
                <w:szCs w:val="20"/>
              </w:rPr>
              <w:t>416,814.08</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60242FBF" w14:textId="77777777" w:rsidR="00532D20" w:rsidRDefault="00532D20"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B223F8F" w14:textId="6C0D2D7B" w:rsidR="00AD079A" w:rsidRDefault="00A8599D" w:rsidP="00AD079A">
      <w:pPr>
        <w:pStyle w:val="documento"/>
      </w:pPr>
      <w:r w:rsidRPr="004147E6">
        <w:t xml:space="preserve">El Instituto </w:t>
      </w:r>
      <w:r w:rsidR="00347D0B" w:rsidRPr="004147E6">
        <w:t>recaud</w:t>
      </w:r>
      <w:r w:rsidR="00957E87" w:rsidRPr="004147E6">
        <w:t xml:space="preserve">ó </w:t>
      </w:r>
      <w:r w:rsidR="00C5299B" w:rsidRPr="004147E6">
        <w:t xml:space="preserve">ingresos por </w:t>
      </w:r>
      <w:r w:rsidR="00FA52EA" w:rsidRPr="00FA52EA">
        <w:t>79,724,180.00</w:t>
      </w:r>
      <w:r w:rsidR="00FA52EA">
        <w:t xml:space="preserve"> </w:t>
      </w:r>
      <w:r w:rsidR="008A01A5" w:rsidRPr="004147E6">
        <w:t>pesos</w:t>
      </w:r>
      <w:r w:rsidRPr="004147E6">
        <w:t xml:space="preserve"> </w:t>
      </w:r>
      <w:r w:rsidR="00C5299B" w:rsidRPr="004147E6">
        <w:t xml:space="preserve">que </w:t>
      </w:r>
      <w:r w:rsidR="00871A85" w:rsidRPr="004147E6">
        <w:t xml:space="preserve">corresponden a las </w:t>
      </w:r>
      <w:r w:rsidR="008A01A5" w:rsidRPr="004147E6">
        <w:t>T</w:t>
      </w:r>
      <w:r w:rsidR="00AD079A" w:rsidRPr="004147E6">
        <w:t xml:space="preserve">ransferencias </w:t>
      </w:r>
      <w:r w:rsidR="00871A85" w:rsidRPr="004147E6">
        <w:t>Internas y A</w:t>
      </w:r>
      <w:r w:rsidR="008A01A5" w:rsidRPr="004147E6">
        <w:t xml:space="preserve">signaciones al Sector Público </w:t>
      </w:r>
      <w:r w:rsidR="007136A8" w:rsidRPr="004147E6">
        <w:t xml:space="preserve">de </w:t>
      </w:r>
      <w:r w:rsidR="00AD079A" w:rsidRPr="004147E6">
        <w:t xml:space="preserve">la Secretaría de </w:t>
      </w:r>
      <w:r w:rsidR="008E3522" w:rsidRPr="004147E6">
        <w:t xml:space="preserve">Administración y </w:t>
      </w:r>
      <w:r w:rsidR="00AD079A" w:rsidRPr="004147E6">
        <w:t>Finanzas del Gobierno de la Ciudad de México</w:t>
      </w:r>
      <w:r w:rsidR="008A01A5" w:rsidRPr="004147E6">
        <w:t>, para la operación del Instituto</w:t>
      </w:r>
      <w:r w:rsidR="00322CBD" w:rsidRPr="004147E6">
        <w:t>.</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3143601C" w:rsidR="00B2580E" w:rsidRPr="00272BD4" w:rsidRDefault="00C67F39" w:rsidP="008E01B1">
            <w:pPr>
              <w:pStyle w:val="ENCTAB"/>
              <w:spacing w:after="0"/>
              <w:rPr>
                <w:sz w:val="14"/>
                <w:szCs w:val="14"/>
              </w:rPr>
            </w:pPr>
            <w:r>
              <w:rPr>
                <w:sz w:val="14"/>
                <w:szCs w:val="14"/>
              </w:rPr>
              <w:t>20</w:t>
            </w:r>
            <w:r w:rsidR="008E01B1">
              <w:rPr>
                <w:sz w:val="14"/>
                <w:szCs w:val="14"/>
              </w:rPr>
              <w:t>20</w:t>
            </w:r>
          </w:p>
        </w:tc>
        <w:tc>
          <w:tcPr>
            <w:tcW w:w="1418" w:type="dxa"/>
            <w:shd w:val="clear" w:color="auto" w:fill="D2D3D5"/>
            <w:vAlign w:val="center"/>
          </w:tcPr>
          <w:p w14:paraId="071E907B" w14:textId="5BEDF7E7" w:rsidR="00B2580E" w:rsidRPr="00272BD4" w:rsidRDefault="00C67F39" w:rsidP="008E01B1">
            <w:pPr>
              <w:pStyle w:val="ENCTAB"/>
              <w:spacing w:after="0"/>
              <w:rPr>
                <w:sz w:val="14"/>
                <w:szCs w:val="14"/>
              </w:rPr>
            </w:pPr>
            <w:r>
              <w:rPr>
                <w:sz w:val="14"/>
                <w:szCs w:val="14"/>
              </w:rPr>
              <w:t>20</w:t>
            </w:r>
            <w:r w:rsidR="008E01B1">
              <w:rPr>
                <w:sz w:val="14"/>
                <w:szCs w:val="14"/>
              </w:rPr>
              <w:t>19</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61AE5794" w:rsidR="00B2580E" w:rsidRPr="0063233F" w:rsidRDefault="00FA52EA" w:rsidP="00006836">
            <w:pPr>
              <w:pStyle w:val="TEXTAB"/>
              <w:spacing w:after="0"/>
              <w:ind w:right="237"/>
              <w:jc w:val="right"/>
              <w:rPr>
                <w:sz w:val="12"/>
                <w:szCs w:val="12"/>
                <w:lang w:val="es-ES_tradnl"/>
              </w:rPr>
            </w:pPr>
            <w:r w:rsidRPr="00FA52EA">
              <w:rPr>
                <w:sz w:val="12"/>
                <w:szCs w:val="12"/>
                <w:lang w:val="es-ES_tradnl"/>
              </w:rPr>
              <w:t>374,933.53</w:t>
            </w:r>
          </w:p>
        </w:tc>
        <w:tc>
          <w:tcPr>
            <w:tcW w:w="1418" w:type="dxa"/>
            <w:vAlign w:val="center"/>
          </w:tcPr>
          <w:p w14:paraId="106EDCDA" w14:textId="0D738037" w:rsidR="00B2580E" w:rsidRPr="0063233F" w:rsidRDefault="00443BCB" w:rsidP="00006836">
            <w:pPr>
              <w:pStyle w:val="TEXTAB"/>
              <w:spacing w:after="0"/>
              <w:ind w:right="237"/>
              <w:jc w:val="right"/>
              <w:rPr>
                <w:sz w:val="12"/>
                <w:szCs w:val="12"/>
                <w:lang w:val="es-ES_tradnl"/>
              </w:rPr>
            </w:pPr>
            <w:r>
              <w:rPr>
                <w:sz w:val="12"/>
                <w:szCs w:val="12"/>
                <w:lang w:val="es-ES_tradnl"/>
              </w:rPr>
              <w:t>415,130.55</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07C68099" w:rsidR="00A44101" w:rsidRDefault="009E1189"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2D565979" w14:textId="66F7D741" w:rsidR="00A44101" w:rsidRDefault="00A47FBB" w:rsidP="00006836">
            <w:pPr>
              <w:pStyle w:val="TEXTAB"/>
              <w:spacing w:after="0"/>
              <w:ind w:right="237"/>
              <w:jc w:val="right"/>
              <w:rPr>
                <w:sz w:val="12"/>
                <w:szCs w:val="12"/>
                <w:lang w:val="es-ES_tradnl"/>
              </w:rPr>
            </w:pPr>
            <w:r>
              <w:rPr>
                <w:sz w:val="12"/>
                <w:szCs w:val="12"/>
                <w:lang w:val="es-ES_tradnl"/>
              </w:rPr>
              <w:t>191,256.09</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4C6E99E3" w:rsidR="00C67F39" w:rsidRPr="0063233F" w:rsidRDefault="00FA52EA" w:rsidP="00C67F39">
            <w:pPr>
              <w:pStyle w:val="TEXTAB"/>
              <w:spacing w:after="0"/>
              <w:ind w:right="237"/>
              <w:jc w:val="right"/>
              <w:rPr>
                <w:sz w:val="12"/>
                <w:szCs w:val="12"/>
                <w:lang w:val="es-ES_tradnl"/>
              </w:rPr>
            </w:pPr>
            <w:r w:rsidRPr="00FA52EA">
              <w:rPr>
                <w:sz w:val="12"/>
                <w:szCs w:val="12"/>
                <w:lang w:val="es-ES_tradnl"/>
              </w:rPr>
              <w:t>374,933.53</w:t>
            </w:r>
          </w:p>
        </w:tc>
        <w:tc>
          <w:tcPr>
            <w:tcW w:w="1418" w:type="dxa"/>
            <w:shd w:val="clear" w:color="auto" w:fill="D2D3D5"/>
            <w:vAlign w:val="center"/>
          </w:tcPr>
          <w:p w14:paraId="79A1440D" w14:textId="659505CF" w:rsidR="00C67F39" w:rsidRPr="0063233F" w:rsidRDefault="00443BCB" w:rsidP="00C67F39">
            <w:pPr>
              <w:pStyle w:val="TEXTAB"/>
              <w:spacing w:after="0"/>
              <w:ind w:right="237"/>
              <w:jc w:val="right"/>
              <w:rPr>
                <w:sz w:val="12"/>
                <w:szCs w:val="12"/>
                <w:lang w:val="es-ES_tradnl"/>
              </w:rPr>
            </w:pPr>
            <w:r>
              <w:rPr>
                <w:sz w:val="12"/>
                <w:szCs w:val="12"/>
                <w:lang w:val="es-ES_tradnl"/>
              </w:rPr>
              <w:t>606,366.64</w:t>
            </w:r>
          </w:p>
        </w:tc>
      </w:tr>
    </w:tbl>
    <w:p w14:paraId="6ED60C73" w14:textId="77777777" w:rsidR="00B2580E" w:rsidRDefault="00B2580E" w:rsidP="00B2580E">
      <w:pPr>
        <w:pStyle w:val="ROMANOS"/>
        <w:spacing w:after="0" w:line="240" w:lineRule="exact"/>
      </w:pP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5D45F270" w:rsidR="00FE5ED9" w:rsidRDefault="00DC5397" w:rsidP="00113EF2">
      <w:pPr>
        <w:pStyle w:val="documento"/>
        <w:numPr>
          <w:ilvl w:val="0"/>
          <w:numId w:val="10"/>
        </w:numPr>
        <w:tabs>
          <w:tab w:val="left" w:pos="567"/>
        </w:tabs>
      </w:pPr>
      <w:r>
        <w:t>Servicios Personales por $</w:t>
      </w:r>
      <w:r w:rsidR="00113EF2" w:rsidRPr="00113EF2">
        <w:t>51,046,243.52</w:t>
      </w:r>
    </w:p>
    <w:p w14:paraId="1E7B3E49" w14:textId="6C712EEC" w:rsidR="00DC5397" w:rsidRDefault="00DC5397" w:rsidP="00FE5ED9">
      <w:pPr>
        <w:pStyle w:val="documento"/>
        <w:tabs>
          <w:tab w:val="left" w:pos="567"/>
        </w:tabs>
        <w:ind w:left="567"/>
      </w:pPr>
      <w:r>
        <w:t xml:space="preserve">El gasto corresponde al pago de las remuneraciones al personal de carácter permanente y transitorio que trabaja en el Instituto, prestaciones de </w:t>
      </w:r>
      <w:r w:rsidR="00F10CDB">
        <w:t>seguridad social y económica</w:t>
      </w:r>
      <w:r w:rsidR="002810AF">
        <w:t>.</w:t>
      </w:r>
    </w:p>
    <w:p w14:paraId="767FC26B" w14:textId="77777777" w:rsidR="00E67B41" w:rsidRDefault="00E67B41"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45E0A22" w14:textId="6994A64D" w:rsidR="00D93444" w:rsidRDefault="00DE714F" w:rsidP="00DE714F">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 xml:space="preserve">El importe reflejado representa la depreciación y amortización </w:t>
      </w:r>
      <w:r w:rsidR="00BE7A9F" w:rsidRPr="00301BDA">
        <w:rPr>
          <w:rFonts w:ascii="Gotham Rounded Book" w:hAnsi="Gotham Rounded Book"/>
          <w:sz w:val="22"/>
          <w:szCs w:val="22"/>
        </w:rPr>
        <w:t>a</w:t>
      </w:r>
      <w:r w:rsidR="00DD5122" w:rsidRPr="00301BDA">
        <w:rPr>
          <w:rFonts w:ascii="Gotham Rounded Book" w:hAnsi="Gotham Rounded Book"/>
          <w:sz w:val="22"/>
          <w:szCs w:val="22"/>
        </w:rPr>
        <w:t xml:space="preserve"> </w:t>
      </w:r>
      <w:r w:rsidR="00F46F5E">
        <w:rPr>
          <w:rFonts w:ascii="Gotham Rounded Book" w:hAnsi="Gotham Rounded Book"/>
          <w:sz w:val="22"/>
          <w:szCs w:val="22"/>
        </w:rPr>
        <w:t>junio</w:t>
      </w:r>
      <w:r w:rsidR="00D043EF">
        <w:rPr>
          <w:rFonts w:ascii="Gotham Rounded Book" w:hAnsi="Gotham Rounded Book"/>
          <w:sz w:val="22"/>
          <w:szCs w:val="22"/>
        </w:rPr>
        <w:t xml:space="preserve"> </w:t>
      </w:r>
      <w:r w:rsidR="00680A69">
        <w:rPr>
          <w:rFonts w:ascii="Gotham Rounded Book" w:hAnsi="Gotham Rounded Book"/>
          <w:sz w:val="22"/>
          <w:szCs w:val="22"/>
        </w:rPr>
        <w:t>d</w:t>
      </w:r>
      <w:r w:rsidR="005F608E" w:rsidRPr="00301BDA">
        <w:rPr>
          <w:rFonts w:ascii="Gotham Rounded Book" w:hAnsi="Gotham Rounded Book"/>
          <w:sz w:val="22"/>
          <w:szCs w:val="22"/>
        </w:rPr>
        <w:t>e</w:t>
      </w:r>
      <w:r w:rsidRPr="00301BDA">
        <w:rPr>
          <w:rFonts w:ascii="Gotham Rounded Book" w:hAnsi="Gotham Rounded Book"/>
          <w:sz w:val="22"/>
          <w:szCs w:val="22"/>
        </w:rPr>
        <w:t>l 20</w:t>
      </w:r>
      <w:r w:rsidR="00D4245B" w:rsidRPr="00301BDA">
        <w:rPr>
          <w:rFonts w:ascii="Gotham Rounded Book" w:hAnsi="Gotham Rounded Book"/>
          <w:sz w:val="22"/>
          <w:szCs w:val="22"/>
        </w:rPr>
        <w:t>20</w:t>
      </w:r>
      <w:r w:rsidR="00D93444" w:rsidRPr="00301BDA">
        <w:rPr>
          <w:rFonts w:ascii="Gotham Rounded Book" w:hAnsi="Gotham Rounded Book"/>
          <w:sz w:val="22"/>
          <w:szCs w:val="22"/>
        </w:rPr>
        <w:t xml:space="preserve"> por </w:t>
      </w:r>
      <w:r w:rsidR="001A65A6" w:rsidRPr="001A65A6">
        <w:rPr>
          <w:rFonts w:ascii="Gotham Rounded Book" w:hAnsi="Gotham Rounded Book"/>
          <w:sz w:val="22"/>
          <w:szCs w:val="22"/>
        </w:rPr>
        <w:t>1,519,262.21</w:t>
      </w:r>
      <w:r w:rsidR="001A65A6">
        <w:rPr>
          <w:rFonts w:ascii="Gotham Rounded Book" w:hAnsi="Gotham Rounded Book"/>
          <w:sz w:val="22"/>
          <w:szCs w:val="22"/>
        </w:rPr>
        <w:t xml:space="preserve"> </w:t>
      </w:r>
      <w:r w:rsidR="00D93444" w:rsidRPr="00301BDA">
        <w:rPr>
          <w:rFonts w:ascii="Gotham Rounded Book" w:hAnsi="Gotham Rounded Book"/>
          <w:sz w:val="22"/>
          <w:szCs w:val="22"/>
        </w:rPr>
        <w:t>pesos.</w:t>
      </w:r>
    </w:p>
    <w:p w14:paraId="33183E37" w14:textId="77777777" w:rsidR="00321665" w:rsidRDefault="00321665" w:rsidP="00DE714F">
      <w:pPr>
        <w:pStyle w:val="ROMANOS"/>
        <w:tabs>
          <w:tab w:val="clear" w:pos="720"/>
        </w:tabs>
        <w:spacing w:after="0" w:line="276" w:lineRule="auto"/>
        <w:ind w:left="0" w:firstLine="0"/>
        <w:rPr>
          <w:rFonts w:ascii="Gotham Rounded Book" w:hAnsi="Gotham Rounded Book"/>
          <w:sz w:val="22"/>
          <w:szCs w:val="22"/>
        </w:rPr>
      </w:pPr>
    </w:p>
    <w:p w14:paraId="6CB49BC5" w14:textId="77777777" w:rsidR="00BE0766" w:rsidRDefault="00BE0766" w:rsidP="00DE714F">
      <w:pPr>
        <w:pStyle w:val="ROMANOS"/>
        <w:tabs>
          <w:tab w:val="clear" w:pos="720"/>
        </w:tabs>
        <w:spacing w:after="0" w:line="276" w:lineRule="auto"/>
        <w:ind w:left="0" w:firstLine="0"/>
        <w:rPr>
          <w:rFonts w:ascii="Gotham Rounded Book" w:hAnsi="Gotham Rounded Book"/>
          <w:sz w:val="22"/>
          <w:szCs w:val="22"/>
        </w:rPr>
      </w:pPr>
    </w:p>
    <w:p w14:paraId="2BB00065" w14:textId="77777777"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6A0DEAC9"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5D7C3E" w:rsidRPr="00C454B6">
        <w:t>$</w:t>
      </w:r>
      <w:r w:rsidR="001A65A6" w:rsidRPr="001A65A6">
        <w:t>1,257,648.13</w:t>
      </w:r>
      <w:r w:rsidR="004307A0">
        <w:t xml:space="preserve"> y $</w:t>
      </w:r>
      <w:r w:rsidR="001A65A6" w:rsidRPr="001A65A6">
        <w:t>261,614.08</w:t>
      </w:r>
      <w:r w:rsidR="005D7C3E" w:rsidRPr="00C454B6">
        <w:t>,</w:t>
      </w:r>
      <w:r w:rsidR="00941FAA" w:rsidRPr="00C454B6">
        <w:t xml:space="preserve"> respectivamente.</w:t>
      </w:r>
    </w:p>
    <w:p w14:paraId="2837FCED" w14:textId="77777777" w:rsidR="00561495" w:rsidRDefault="00561495" w:rsidP="00B2580E">
      <w:pPr>
        <w:pStyle w:val="documento"/>
        <w:rPr>
          <w:b/>
        </w:rPr>
      </w:pPr>
    </w:p>
    <w:p w14:paraId="3F630FC8" w14:textId="77777777" w:rsidR="00623BBF" w:rsidRDefault="00623BBF" w:rsidP="00623BBF">
      <w:pPr>
        <w:pStyle w:val="documento"/>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65CAE4FA" w:rsidR="00B2580E" w:rsidRPr="00272BD4" w:rsidRDefault="00561495" w:rsidP="00D4245B">
            <w:pPr>
              <w:pStyle w:val="ENCTAB"/>
              <w:spacing w:after="0"/>
              <w:rPr>
                <w:sz w:val="14"/>
                <w:szCs w:val="14"/>
              </w:rPr>
            </w:pPr>
            <w:r>
              <w:rPr>
                <w:sz w:val="14"/>
                <w:szCs w:val="14"/>
              </w:rPr>
              <w:t>20</w:t>
            </w:r>
            <w:r w:rsidR="00D4245B">
              <w:rPr>
                <w:sz w:val="14"/>
                <w:szCs w:val="14"/>
              </w:rPr>
              <w:t>20</w:t>
            </w:r>
          </w:p>
        </w:tc>
        <w:tc>
          <w:tcPr>
            <w:tcW w:w="1418" w:type="dxa"/>
            <w:shd w:val="clear" w:color="auto" w:fill="D2D3D5"/>
            <w:vAlign w:val="center"/>
          </w:tcPr>
          <w:p w14:paraId="2432DBE2" w14:textId="36BCB484" w:rsidR="00B2580E" w:rsidRPr="00272BD4" w:rsidRDefault="00B2580E" w:rsidP="00D4245B">
            <w:pPr>
              <w:pStyle w:val="ENCTAB"/>
              <w:spacing w:after="0"/>
              <w:rPr>
                <w:sz w:val="14"/>
                <w:szCs w:val="14"/>
              </w:rPr>
            </w:pPr>
            <w:r>
              <w:rPr>
                <w:sz w:val="14"/>
                <w:szCs w:val="14"/>
              </w:rPr>
              <w:t>20</w:t>
            </w:r>
            <w:r w:rsidR="00D4245B">
              <w:rPr>
                <w:sz w:val="14"/>
                <w:szCs w:val="14"/>
              </w:rPr>
              <w:t>19</w:t>
            </w:r>
          </w:p>
        </w:tc>
      </w:tr>
      <w:tr w:rsidR="00C11027"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C11027" w:rsidRDefault="00C11027" w:rsidP="00C11027">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78F42CC7" w:rsidR="00C11027" w:rsidRPr="0063233F" w:rsidRDefault="00274416" w:rsidP="00C11027">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7B39F4CB" w14:textId="44D1E4E1" w:rsidR="00C11027" w:rsidRPr="0063233F" w:rsidRDefault="00E61B87" w:rsidP="00C11027">
            <w:pPr>
              <w:pStyle w:val="TEXTAB"/>
              <w:spacing w:after="0"/>
              <w:ind w:right="237"/>
              <w:jc w:val="right"/>
              <w:rPr>
                <w:sz w:val="12"/>
                <w:szCs w:val="12"/>
                <w:lang w:val="es-ES_tradnl"/>
              </w:rPr>
            </w:pPr>
            <w:r>
              <w:rPr>
                <w:sz w:val="12"/>
                <w:szCs w:val="12"/>
                <w:lang w:val="es-ES_tradnl"/>
              </w:rPr>
              <w:t>5,000.00</w:t>
            </w:r>
          </w:p>
        </w:tc>
      </w:tr>
      <w:tr w:rsidR="00C11027"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C11027" w:rsidRDefault="00C11027" w:rsidP="00C11027">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741BF860" w:rsidR="00C11027" w:rsidRPr="0063233F" w:rsidRDefault="001A65A6" w:rsidP="00C11027">
            <w:pPr>
              <w:pStyle w:val="TEXTAB"/>
              <w:spacing w:after="0"/>
              <w:ind w:right="237"/>
              <w:jc w:val="right"/>
              <w:rPr>
                <w:sz w:val="12"/>
                <w:szCs w:val="12"/>
                <w:lang w:val="es-ES_tradnl"/>
              </w:rPr>
            </w:pPr>
            <w:r w:rsidRPr="001A65A6">
              <w:rPr>
                <w:sz w:val="12"/>
                <w:szCs w:val="12"/>
                <w:lang w:val="es-ES_tradnl"/>
              </w:rPr>
              <w:t>26,311,615.23</w:t>
            </w:r>
          </w:p>
        </w:tc>
        <w:tc>
          <w:tcPr>
            <w:tcW w:w="1418" w:type="dxa"/>
            <w:vAlign w:val="center"/>
          </w:tcPr>
          <w:p w14:paraId="70781CEC" w14:textId="1242C456" w:rsidR="00C11027" w:rsidRPr="0063233F" w:rsidRDefault="00B942ED" w:rsidP="00C11027">
            <w:pPr>
              <w:pStyle w:val="TEXTAB"/>
              <w:spacing w:after="0"/>
              <w:ind w:right="237"/>
              <w:jc w:val="right"/>
              <w:rPr>
                <w:sz w:val="12"/>
                <w:szCs w:val="12"/>
                <w:lang w:val="es-ES_tradnl"/>
              </w:rPr>
            </w:pPr>
            <w:r>
              <w:rPr>
                <w:sz w:val="12"/>
                <w:szCs w:val="12"/>
                <w:lang w:val="es-ES_tradnl"/>
              </w:rPr>
              <w:t>22,285,808.35</w:t>
            </w:r>
          </w:p>
        </w:tc>
      </w:tr>
      <w:tr w:rsidR="00C11027"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C11027" w:rsidRDefault="00C11027" w:rsidP="00C11027">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5C99F491" w:rsidR="00C11027" w:rsidRPr="0063233F" w:rsidRDefault="009B362B"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225A659B"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C11027" w:rsidRDefault="00C11027" w:rsidP="00C11027">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C11027" w:rsidRPr="0063233F" w:rsidRDefault="00C11027"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6048F027"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C11027" w:rsidRDefault="00C11027" w:rsidP="00C11027">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7095C535" w:rsidR="00C11027" w:rsidRPr="0063233F" w:rsidRDefault="001A65A6" w:rsidP="00C11027">
            <w:pPr>
              <w:pStyle w:val="TEXTAB"/>
              <w:spacing w:after="0"/>
              <w:ind w:right="237"/>
              <w:jc w:val="right"/>
              <w:rPr>
                <w:sz w:val="12"/>
                <w:szCs w:val="12"/>
                <w:lang w:val="es-ES_tradnl"/>
              </w:rPr>
            </w:pPr>
            <w:r w:rsidRPr="001A65A6">
              <w:rPr>
                <w:sz w:val="12"/>
                <w:szCs w:val="12"/>
                <w:lang w:val="es-ES_tradnl"/>
              </w:rPr>
              <w:t>20,074.14</w:t>
            </w:r>
          </w:p>
        </w:tc>
        <w:tc>
          <w:tcPr>
            <w:tcW w:w="1418" w:type="dxa"/>
            <w:vAlign w:val="center"/>
          </w:tcPr>
          <w:p w14:paraId="692CFD49" w14:textId="5B39FA98" w:rsidR="00C11027" w:rsidRPr="0063233F" w:rsidRDefault="00FF56FA" w:rsidP="00C11027">
            <w:pPr>
              <w:pStyle w:val="TEXTAB"/>
              <w:spacing w:after="0"/>
              <w:ind w:right="237"/>
              <w:jc w:val="right"/>
              <w:rPr>
                <w:sz w:val="12"/>
                <w:szCs w:val="12"/>
                <w:lang w:val="es-ES_tradnl"/>
              </w:rPr>
            </w:pPr>
            <w:r>
              <w:rPr>
                <w:sz w:val="12"/>
                <w:szCs w:val="12"/>
                <w:lang w:val="es-ES_tradnl"/>
              </w:rPr>
              <w:t>19,118.00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37503">
            <w:pPr>
              <w:pStyle w:val="TEXTAB"/>
              <w:spacing w:after="0"/>
              <w:ind w:right="237"/>
              <w:jc w:val="right"/>
              <w:rPr>
                <w:sz w:val="12"/>
                <w:szCs w:val="12"/>
                <w:lang w:val="es-ES_tradnl"/>
              </w:rPr>
            </w:pPr>
          </w:p>
        </w:tc>
        <w:tc>
          <w:tcPr>
            <w:tcW w:w="1134" w:type="dxa"/>
            <w:shd w:val="clear" w:color="auto" w:fill="D2D3D5"/>
            <w:vAlign w:val="center"/>
          </w:tcPr>
          <w:p w14:paraId="510DC60E" w14:textId="1EAC8405" w:rsidR="00342929" w:rsidRPr="0063233F" w:rsidRDefault="001A65A6" w:rsidP="00B35B96">
            <w:pPr>
              <w:pStyle w:val="TEXTAB"/>
              <w:spacing w:after="0"/>
              <w:ind w:right="237" w:hanging="740"/>
              <w:jc w:val="left"/>
              <w:rPr>
                <w:sz w:val="12"/>
                <w:szCs w:val="12"/>
                <w:lang w:val="es-ES_tradnl"/>
              </w:rPr>
            </w:pPr>
            <w:r>
              <w:rPr>
                <w:sz w:val="12"/>
                <w:szCs w:val="12"/>
                <w:lang w:val="es-ES_tradnl"/>
              </w:rPr>
              <w:t>26,336,689.37</w:t>
            </w:r>
          </w:p>
        </w:tc>
        <w:tc>
          <w:tcPr>
            <w:tcW w:w="1276" w:type="dxa"/>
            <w:shd w:val="clear" w:color="auto" w:fill="D2D3D5"/>
            <w:vAlign w:val="center"/>
          </w:tcPr>
          <w:p w14:paraId="1873EF04" w14:textId="677E2687" w:rsidR="00342929" w:rsidRPr="0063233F" w:rsidRDefault="00B942ED" w:rsidP="00036656">
            <w:pPr>
              <w:pStyle w:val="TEXTAB"/>
              <w:spacing w:after="0"/>
              <w:ind w:right="237" w:hanging="791"/>
              <w:jc w:val="right"/>
              <w:rPr>
                <w:sz w:val="12"/>
                <w:szCs w:val="12"/>
                <w:lang w:val="es-ES_tradnl"/>
              </w:rPr>
            </w:pPr>
            <w:r w:rsidRPr="00B942ED">
              <w:rPr>
                <w:sz w:val="12"/>
                <w:szCs w:val="12"/>
                <w:lang w:val="es-ES_tradnl"/>
              </w:rPr>
              <w:t>22,309,926.35</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07A74171" w14:textId="77777777" w:rsidR="00E15F7A" w:rsidRDefault="00E15F7A" w:rsidP="009845F4">
      <w:pPr>
        <w:pStyle w:val="documento"/>
        <w:rPr>
          <w:b/>
        </w:rPr>
      </w:pPr>
    </w:p>
    <w:p w14:paraId="09873C0C" w14:textId="77777777" w:rsidR="00DF537F" w:rsidRDefault="00DF537F" w:rsidP="009845F4">
      <w:pPr>
        <w:pStyle w:val="documento"/>
        <w:rPr>
          <w:b/>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26EC0D71" w:rsidR="009845F4" w:rsidRPr="00272BD4" w:rsidRDefault="00561495" w:rsidP="001E39C2">
            <w:pPr>
              <w:pStyle w:val="ENCTAB"/>
              <w:spacing w:after="0"/>
              <w:rPr>
                <w:sz w:val="14"/>
                <w:szCs w:val="14"/>
              </w:rPr>
            </w:pPr>
            <w:r>
              <w:rPr>
                <w:sz w:val="14"/>
                <w:szCs w:val="14"/>
              </w:rPr>
              <w:t>20</w:t>
            </w:r>
            <w:r w:rsidR="001E39C2">
              <w:rPr>
                <w:sz w:val="14"/>
                <w:szCs w:val="14"/>
              </w:rPr>
              <w:t>20</w:t>
            </w:r>
          </w:p>
        </w:tc>
        <w:tc>
          <w:tcPr>
            <w:tcW w:w="1418" w:type="dxa"/>
            <w:shd w:val="clear" w:color="auto" w:fill="D2D3D5"/>
            <w:vAlign w:val="center"/>
          </w:tcPr>
          <w:p w14:paraId="5711AC90" w14:textId="62CD3AAF" w:rsidR="009845F4" w:rsidRPr="00272BD4" w:rsidRDefault="00561495" w:rsidP="001E39C2">
            <w:pPr>
              <w:pStyle w:val="ENCTAB"/>
              <w:spacing w:after="0"/>
              <w:rPr>
                <w:sz w:val="14"/>
                <w:szCs w:val="14"/>
              </w:rPr>
            </w:pPr>
            <w:r>
              <w:rPr>
                <w:sz w:val="14"/>
                <w:szCs w:val="14"/>
              </w:rPr>
              <w:t>20</w:t>
            </w:r>
            <w:r w:rsidR="001E39C2">
              <w:rPr>
                <w:sz w:val="14"/>
                <w:szCs w:val="14"/>
              </w:rPr>
              <w:t>19</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6E94C616" w:rsidR="009845F4" w:rsidRPr="0063233F" w:rsidRDefault="00B57F41" w:rsidP="00295A5D">
            <w:pPr>
              <w:pStyle w:val="TEXTAB"/>
              <w:spacing w:after="0"/>
              <w:ind w:right="237"/>
              <w:jc w:val="right"/>
              <w:rPr>
                <w:sz w:val="12"/>
                <w:szCs w:val="12"/>
                <w:lang w:val="es-ES_tradnl"/>
              </w:rPr>
            </w:pPr>
            <w:r w:rsidRPr="00B57F41">
              <w:rPr>
                <w:sz w:val="12"/>
                <w:szCs w:val="12"/>
                <w:lang w:val="es-ES_tradnl"/>
              </w:rPr>
              <w:t>62,898.56</w:t>
            </w:r>
          </w:p>
        </w:tc>
        <w:tc>
          <w:tcPr>
            <w:tcW w:w="1418" w:type="dxa"/>
            <w:vAlign w:val="center"/>
          </w:tcPr>
          <w:p w14:paraId="6A83A2C9" w14:textId="64157363" w:rsidR="009845F4" w:rsidRPr="0063233F" w:rsidRDefault="00AD534E" w:rsidP="00295A5D">
            <w:pPr>
              <w:pStyle w:val="TEXTAB"/>
              <w:spacing w:after="0"/>
              <w:ind w:right="237"/>
              <w:jc w:val="right"/>
              <w:rPr>
                <w:sz w:val="12"/>
                <w:szCs w:val="12"/>
                <w:lang w:val="es-ES_tradnl"/>
              </w:rPr>
            </w:pPr>
            <w:r>
              <w:rPr>
                <w:sz w:val="12"/>
                <w:szCs w:val="12"/>
                <w:lang w:val="es-ES_tradnl"/>
              </w:rPr>
              <w:t>62,116.95</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2EFCA9FC"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7DE62802" w:rsidR="00561495" w:rsidRPr="0063233F" w:rsidRDefault="001D0E0E" w:rsidP="00561495">
            <w:pPr>
              <w:pStyle w:val="TEXTAB"/>
              <w:spacing w:after="0"/>
              <w:ind w:right="237"/>
              <w:jc w:val="right"/>
              <w:rPr>
                <w:sz w:val="12"/>
                <w:szCs w:val="12"/>
                <w:lang w:val="es-ES_tradnl"/>
              </w:rPr>
            </w:pPr>
            <w:r w:rsidRPr="001D0E0E">
              <w:rPr>
                <w:sz w:val="12"/>
                <w:szCs w:val="12"/>
                <w:lang w:val="es-ES_tradnl"/>
              </w:rPr>
              <w:t>62,898.56</w:t>
            </w:r>
          </w:p>
        </w:tc>
        <w:tc>
          <w:tcPr>
            <w:tcW w:w="1418" w:type="dxa"/>
            <w:shd w:val="clear" w:color="auto" w:fill="D2D3D5"/>
            <w:vAlign w:val="center"/>
          </w:tcPr>
          <w:p w14:paraId="03F00027" w14:textId="4BA16417" w:rsidR="00561495" w:rsidRPr="0063233F" w:rsidRDefault="00AD534E" w:rsidP="00561495">
            <w:pPr>
              <w:pStyle w:val="TEXTAB"/>
              <w:spacing w:after="0"/>
              <w:ind w:right="237"/>
              <w:jc w:val="right"/>
              <w:rPr>
                <w:sz w:val="12"/>
                <w:szCs w:val="12"/>
                <w:lang w:val="es-ES_tradnl"/>
              </w:rPr>
            </w:pPr>
            <w:r>
              <w:rPr>
                <w:sz w:val="12"/>
                <w:szCs w:val="12"/>
                <w:lang w:val="es-ES_tradnl"/>
              </w:rPr>
              <w:t>62,116.95</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B7CB07D" w14:textId="77777777" w:rsidR="00A32803" w:rsidRDefault="00A32803" w:rsidP="00B2580E">
      <w:pPr>
        <w:pStyle w:val="Texto"/>
        <w:spacing w:after="0" w:line="240" w:lineRule="exact"/>
        <w:ind w:firstLine="0"/>
        <w:rPr>
          <w:rFonts w:ascii="Gotham Rounded Book" w:hAnsi="Gotham Rounded Book"/>
          <w:sz w:val="22"/>
          <w:szCs w:val="22"/>
        </w:rPr>
      </w:pPr>
    </w:p>
    <w:p w14:paraId="24174851" w14:textId="77777777" w:rsidR="00DF537F" w:rsidRDefault="00DF537F" w:rsidP="00B2580E">
      <w:pPr>
        <w:pStyle w:val="Texto"/>
        <w:spacing w:after="0" w:line="240" w:lineRule="exact"/>
        <w:ind w:firstLine="0"/>
        <w:rPr>
          <w:rFonts w:ascii="Gotham Rounded Book" w:hAnsi="Gotham Rounded Book"/>
          <w:sz w:val="22"/>
          <w:szCs w:val="22"/>
        </w:rPr>
      </w:pPr>
    </w:p>
    <w:p w14:paraId="62123657" w14:textId="03D71B5D" w:rsidR="00C463A6" w:rsidRDefault="00C463A6" w:rsidP="00C463A6">
      <w:pPr>
        <w:pStyle w:val="documento"/>
        <w:tabs>
          <w:tab w:val="left" w:pos="567"/>
        </w:tabs>
      </w:pPr>
      <w:r w:rsidRPr="00B450BE">
        <w:t>Las adquisiciones de activos intangibles y de bienes muebles se realizan con los recursos de las transferencias realizadas por la Secretaría de Administración y Finanzas del Gobierno de la Ciudad de México al Info y se encuentran registra</w:t>
      </w:r>
      <w:r w:rsidR="002540B1">
        <w:t>da</w:t>
      </w:r>
      <w:r w:rsidRPr="00B450BE">
        <w:t>s en bienes muebles y otras aplicaciones de inversión.</w:t>
      </w:r>
    </w:p>
    <w:p w14:paraId="6FBB91ED" w14:textId="77777777" w:rsidR="00C463A6" w:rsidRDefault="00C463A6" w:rsidP="00C463A6">
      <w:pPr>
        <w:pStyle w:val="documento"/>
      </w:pPr>
    </w:p>
    <w:p w14:paraId="112F597B" w14:textId="3AFE04E4" w:rsidR="00C463A6" w:rsidRDefault="001D0E0E" w:rsidP="001D0E0E">
      <w:pPr>
        <w:pStyle w:val="documento"/>
        <w:numPr>
          <w:ilvl w:val="0"/>
          <w:numId w:val="11"/>
        </w:numPr>
        <w:tabs>
          <w:tab w:val="left" w:pos="6663"/>
        </w:tabs>
      </w:pPr>
      <w:r>
        <w:t xml:space="preserve">Intangibles. </w:t>
      </w:r>
      <w:r>
        <w:tab/>
      </w:r>
      <w:r w:rsidR="003B5E18">
        <w:t>12,470.37</w:t>
      </w:r>
      <w:r w:rsidR="00C463A6">
        <w:t xml:space="preserve"> </w:t>
      </w:r>
      <w:r w:rsidR="00C463A6" w:rsidRPr="009D0D0E">
        <w:t>pesos</w:t>
      </w:r>
    </w:p>
    <w:p w14:paraId="0199C1D4" w14:textId="1FD98518" w:rsidR="001D0E0E" w:rsidRDefault="001D0E0E" w:rsidP="001D0E0E">
      <w:pPr>
        <w:pStyle w:val="documento"/>
        <w:numPr>
          <w:ilvl w:val="0"/>
          <w:numId w:val="11"/>
        </w:numPr>
        <w:tabs>
          <w:tab w:val="left" w:pos="6521"/>
        </w:tabs>
      </w:pPr>
      <w:r>
        <w:t>Licencias</w:t>
      </w:r>
      <w:r>
        <w:tab/>
        <w:t>141,676.60 pesos</w:t>
      </w:r>
    </w:p>
    <w:p w14:paraId="6F83C3BA" w14:textId="77777777" w:rsidR="00C463A6" w:rsidRDefault="00C463A6" w:rsidP="00C463A6">
      <w:pPr>
        <w:pStyle w:val="documento"/>
      </w:pPr>
    </w:p>
    <w:p w14:paraId="53E98356" w14:textId="77777777" w:rsidR="00095955" w:rsidRDefault="00095955" w:rsidP="00B2580E">
      <w:pPr>
        <w:pStyle w:val="Texto"/>
        <w:spacing w:after="0" w:line="240" w:lineRule="exact"/>
        <w:ind w:firstLine="0"/>
        <w:rPr>
          <w:rFonts w:ascii="Gotham Rounded Book" w:hAnsi="Gotham Rounded Book"/>
          <w:sz w:val="22"/>
          <w:szCs w:val="22"/>
        </w:rPr>
      </w:pPr>
    </w:p>
    <w:p w14:paraId="4060652A" w14:textId="77777777" w:rsidR="00095955" w:rsidRDefault="00095955" w:rsidP="00B2580E">
      <w:pPr>
        <w:pStyle w:val="Texto"/>
        <w:spacing w:after="0" w:line="240" w:lineRule="exact"/>
        <w:ind w:firstLine="0"/>
        <w:rPr>
          <w:rFonts w:ascii="Gotham Rounded Book" w:hAnsi="Gotham Rounded Book"/>
          <w:sz w:val="22"/>
          <w:szCs w:val="22"/>
        </w:rPr>
      </w:pPr>
    </w:p>
    <w:p w14:paraId="4D15DDD0" w14:textId="77777777" w:rsidR="00095955" w:rsidRDefault="00095955" w:rsidP="00B2580E">
      <w:pPr>
        <w:pStyle w:val="Texto"/>
        <w:spacing w:after="0" w:line="240" w:lineRule="exact"/>
        <w:ind w:firstLine="0"/>
        <w:rPr>
          <w:rFonts w:ascii="Gotham Rounded Book" w:hAnsi="Gotham Rounded Book"/>
          <w:sz w:val="22"/>
          <w:szCs w:val="22"/>
        </w:rPr>
      </w:pPr>
    </w:p>
    <w:p w14:paraId="5AEB616F" w14:textId="77777777" w:rsidR="00095955" w:rsidRDefault="00095955" w:rsidP="00B2580E">
      <w:pPr>
        <w:pStyle w:val="Texto"/>
        <w:spacing w:after="0" w:line="240" w:lineRule="exact"/>
        <w:ind w:firstLine="0"/>
        <w:rPr>
          <w:rFonts w:ascii="Gotham Rounded Book" w:hAnsi="Gotham Rounded Book"/>
          <w:sz w:val="22"/>
          <w:szCs w:val="22"/>
        </w:rPr>
      </w:pPr>
    </w:p>
    <w:p w14:paraId="1305B63E" w14:textId="77777777" w:rsidR="00095955" w:rsidRDefault="00095955" w:rsidP="00B2580E">
      <w:pPr>
        <w:pStyle w:val="Texto"/>
        <w:spacing w:after="0" w:line="240" w:lineRule="exact"/>
        <w:ind w:firstLine="0"/>
        <w:rPr>
          <w:rFonts w:ascii="Gotham Rounded Book" w:hAnsi="Gotham Rounded Book"/>
          <w:sz w:val="22"/>
          <w:szCs w:val="22"/>
        </w:rPr>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523ED88C" w:rsidR="00B2580E" w:rsidRPr="00272BD4" w:rsidRDefault="00F57CB6" w:rsidP="00EB7DF6">
            <w:pPr>
              <w:pStyle w:val="ENCTAB"/>
              <w:spacing w:after="0"/>
              <w:rPr>
                <w:sz w:val="14"/>
                <w:szCs w:val="14"/>
              </w:rPr>
            </w:pPr>
            <w:r>
              <w:rPr>
                <w:sz w:val="14"/>
                <w:szCs w:val="14"/>
              </w:rPr>
              <w:t>20</w:t>
            </w:r>
            <w:r w:rsidR="00EB7DF6">
              <w:rPr>
                <w:sz w:val="14"/>
                <w:szCs w:val="14"/>
              </w:rPr>
              <w:t>20</w:t>
            </w:r>
          </w:p>
        </w:tc>
        <w:tc>
          <w:tcPr>
            <w:tcW w:w="1418" w:type="dxa"/>
            <w:shd w:val="clear" w:color="auto" w:fill="D2D3D5"/>
            <w:vAlign w:val="center"/>
          </w:tcPr>
          <w:p w14:paraId="2CF7B810" w14:textId="20933458" w:rsidR="00B2580E" w:rsidRPr="00272BD4" w:rsidRDefault="00F57CB6" w:rsidP="00EB7DF6">
            <w:pPr>
              <w:pStyle w:val="ENCTAB"/>
              <w:spacing w:after="0"/>
              <w:rPr>
                <w:sz w:val="14"/>
                <w:szCs w:val="14"/>
              </w:rPr>
            </w:pPr>
            <w:r>
              <w:rPr>
                <w:sz w:val="14"/>
                <w:szCs w:val="14"/>
              </w:rPr>
              <w:t>20</w:t>
            </w:r>
            <w:r w:rsidR="00EB7DF6">
              <w:rPr>
                <w:sz w:val="14"/>
                <w:szCs w:val="14"/>
              </w:rPr>
              <w:t>19</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1C3850D4" w:rsidR="00FF3D06" w:rsidRPr="0063233F" w:rsidRDefault="001D0E0E" w:rsidP="00FF3D06">
            <w:pPr>
              <w:pStyle w:val="TEXTAB"/>
              <w:spacing w:after="0"/>
              <w:ind w:right="237"/>
              <w:jc w:val="right"/>
              <w:rPr>
                <w:sz w:val="12"/>
                <w:szCs w:val="12"/>
                <w:lang w:val="es-ES_tradnl"/>
              </w:rPr>
            </w:pPr>
            <w:r w:rsidRPr="001D0E0E">
              <w:rPr>
                <w:sz w:val="12"/>
                <w:szCs w:val="12"/>
                <w:lang w:val="es-ES_tradnl"/>
              </w:rPr>
              <w:t>1,257,648.13</w:t>
            </w:r>
          </w:p>
        </w:tc>
        <w:tc>
          <w:tcPr>
            <w:tcW w:w="1418" w:type="dxa"/>
            <w:vAlign w:val="center"/>
          </w:tcPr>
          <w:p w14:paraId="26D29CDB" w14:textId="235776FA" w:rsidR="00FF3D06" w:rsidRPr="0063233F" w:rsidRDefault="00CD4CAA" w:rsidP="00FF3D06">
            <w:pPr>
              <w:pStyle w:val="TEXTAB"/>
              <w:spacing w:after="0"/>
              <w:ind w:right="237"/>
              <w:jc w:val="right"/>
              <w:rPr>
                <w:sz w:val="12"/>
                <w:szCs w:val="12"/>
                <w:lang w:val="es-ES_tradnl"/>
              </w:rPr>
            </w:pPr>
            <w:r>
              <w:rPr>
                <w:sz w:val="12"/>
                <w:szCs w:val="12"/>
                <w:lang w:val="es-ES_tradnl"/>
              </w:rPr>
              <w:t>350,837.72</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3AD420EE" w:rsidR="00FF3D06" w:rsidRPr="0063233F" w:rsidRDefault="001D0E0E" w:rsidP="00FF3D06">
            <w:pPr>
              <w:pStyle w:val="TEXTAB"/>
              <w:spacing w:after="0"/>
              <w:ind w:right="237"/>
              <w:jc w:val="right"/>
              <w:rPr>
                <w:sz w:val="12"/>
                <w:szCs w:val="12"/>
                <w:lang w:val="es-ES_tradnl"/>
              </w:rPr>
            </w:pPr>
            <w:r w:rsidRPr="001D0E0E">
              <w:rPr>
                <w:sz w:val="12"/>
                <w:szCs w:val="12"/>
                <w:lang w:val="es-ES_tradnl"/>
              </w:rPr>
              <w:t>261,614.08</w:t>
            </w:r>
          </w:p>
        </w:tc>
        <w:tc>
          <w:tcPr>
            <w:tcW w:w="1418" w:type="dxa"/>
            <w:vAlign w:val="center"/>
          </w:tcPr>
          <w:p w14:paraId="4C1C163B" w14:textId="4A937A91" w:rsidR="00FF3D06" w:rsidRPr="0063233F" w:rsidRDefault="00CD4CAA" w:rsidP="00FF3D06">
            <w:pPr>
              <w:pStyle w:val="TEXTAB"/>
              <w:spacing w:after="0"/>
              <w:ind w:right="237"/>
              <w:jc w:val="right"/>
              <w:rPr>
                <w:sz w:val="12"/>
                <w:szCs w:val="12"/>
                <w:lang w:val="es-ES_tradnl"/>
              </w:rPr>
            </w:pPr>
            <w:r>
              <w:rPr>
                <w:sz w:val="12"/>
                <w:szCs w:val="12"/>
                <w:lang w:val="es-ES_tradnl"/>
              </w:rPr>
              <w:t>162,508.98</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09350E21" w14:textId="77777777" w:rsidR="004C7B19" w:rsidRDefault="004C7B19"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3F4FD9BE" w:rsidR="00B2580E" w:rsidRPr="00196151"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67D7965C" w14:textId="4FC9B074" w:rsidR="00AC09E9" w:rsidRDefault="003B2285" w:rsidP="00E5374F">
      <w:pPr>
        <w:pStyle w:val="documento"/>
      </w:pPr>
      <w:r>
        <w:rPr>
          <w:noProof/>
        </w:rPr>
        <w:lastRenderedPageBreak/>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6pt;margin-top:31.65pt;width:538.85pt;height:485.1pt;z-index:251659264;mso-position-horizontal-relative:text;mso-position-vertical-relative:text">
            <v:imagedata r:id="rId8" o:title=""/>
            <w10:wrap type="square" side="right"/>
          </v:shape>
          <o:OLEObject Type="Embed" ProgID="Excel.Sheet.12" ShapeID="_x0000_s1028" DrawAspect="Content" ObjectID="_1655626921" r:id="rId9"/>
        </w:object>
      </w:r>
    </w:p>
    <w:bookmarkStart w:id="1" w:name="_MON_1545548817"/>
    <w:bookmarkEnd w:id="1"/>
    <w:p w14:paraId="30826480" w14:textId="246D64FF" w:rsidR="00ED3089" w:rsidRDefault="00C473A7" w:rsidP="00C01CBA">
      <w:pPr>
        <w:pStyle w:val="documento"/>
      </w:pPr>
      <w:r>
        <w:object w:dxaOrig="10188" w:dyaOrig="3809" w14:anchorId="6BBB3279">
          <v:shape id="_x0000_i1026" type="#_x0000_t75" style="width:462.4pt;height:266.5pt" o:ole="">
            <v:imagedata r:id="rId10" o:title=""/>
          </v:shape>
          <o:OLEObject Type="Embed" ProgID="Excel.Sheet.12" ShapeID="_x0000_i1026" DrawAspect="Content" ObjectID="_1655626920" r:id="rId11"/>
        </w:object>
      </w:r>
    </w:p>
    <w:p w14:paraId="383E3835" w14:textId="77777777" w:rsidR="00991328" w:rsidRDefault="00991328" w:rsidP="00C01CBA">
      <w:pPr>
        <w:pStyle w:val="documento"/>
        <w:rPr>
          <w:b/>
        </w:rPr>
      </w:pPr>
    </w:p>
    <w:p w14:paraId="505ADB82" w14:textId="45FF1D8C" w:rsidR="00C01CBA" w:rsidRPr="003B2B12" w:rsidRDefault="00C01CBA" w:rsidP="00C01CBA">
      <w:pPr>
        <w:pStyle w:val="documento"/>
        <w:rPr>
          <w:b/>
        </w:rPr>
      </w:pP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4C477CD7"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E037FC">
        <w:rPr>
          <w:rFonts w:ascii="Gotham Rounded Book" w:hAnsi="Gotham Rounded Book"/>
          <w:sz w:val="22"/>
          <w:szCs w:val="22"/>
        </w:rPr>
        <w:t>13.7</w:t>
      </w:r>
      <w:r w:rsidRPr="0070342E">
        <w:rPr>
          <w:rFonts w:ascii="Gotham Rounded Book" w:hAnsi="Gotham Rounded Book"/>
          <w:sz w:val="22"/>
          <w:szCs w:val="22"/>
        </w:rPr>
        <w:t>/</w:t>
      </w:r>
      <w:r w:rsidR="00D702C7">
        <w:rPr>
          <w:rFonts w:ascii="Gotham Rounded Book" w:hAnsi="Gotham Rounded Book"/>
          <w:sz w:val="22"/>
          <w:szCs w:val="22"/>
        </w:rPr>
        <w:t>009</w:t>
      </w:r>
      <w:r w:rsidR="00B37FFB" w:rsidRPr="0070342E">
        <w:rPr>
          <w:rFonts w:ascii="Gotham Rounded Book" w:hAnsi="Gotham Rounded Book"/>
          <w:sz w:val="22"/>
          <w:szCs w:val="22"/>
        </w:rPr>
        <w:t>/</w:t>
      </w:r>
      <w:r w:rsidRPr="0070342E">
        <w:rPr>
          <w:rFonts w:ascii="Gotham Rounded Book" w:hAnsi="Gotham Rounded Book"/>
          <w:sz w:val="22"/>
          <w:szCs w:val="22"/>
        </w:rPr>
        <w:t>20</w:t>
      </w:r>
      <w:r w:rsidR="00D702C7">
        <w:rPr>
          <w:rFonts w:ascii="Gotham Rounded Book" w:hAnsi="Gotham Rounded Book"/>
          <w:sz w:val="22"/>
          <w:szCs w:val="22"/>
        </w:rPr>
        <w:t>20</w:t>
      </w:r>
      <w:r w:rsidR="00E037FC">
        <w:rPr>
          <w:rFonts w:ascii="Gotham Rounded Book" w:hAnsi="Gotham Rounded Book"/>
          <w:sz w:val="22"/>
          <w:szCs w:val="22"/>
        </w:rPr>
        <w:t xml:space="preserve"> del </w:t>
      </w:r>
      <w:r w:rsidR="00D702C7">
        <w:rPr>
          <w:rFonts w:ascii="Gotham Rounded Book" w:hAnsi="Gotham Rounded Book"/>
          <w:sz w:val="22"/>
          <w:szCs w:val="22"/>
        </w:rPr>
        <w:t>20</w:t>
      </w:r>
      <w:r w:rsidRPr="0070342E">
        <w:rPr>
          <w:rFonts w:ascii="Gotham Rounded Book" w:hAnsi="Gotham Rounded Book"/>
          <w:sz w:val="22"/>
          <w:szCs w:val="22"/>
        </w:rPr>
        <w:t xml:space="preserve"> de </w:t>
      </w:r>
      <w:r w:rsidR="00D702C7">
        <w:rPr>
          <w:rFonts w:ascii="Gotham Rounded Book" w:hAnsi="Gotham Rounded Book"/>
          <w:sz w:val="22"/>
          <w:szCs w:val="22"/>
        </w:rPr>
        <w:t>enero</w:t>
      </w:r>
      <w:r w:rsidR="00912B06">
        <w:rPr>
          <w:rFonts w:ascii="Gotham Rounded Book" w:hAnsi="Gotham Rounded Book"/>
          <w:sz w:val="22"/>
          <w:szCs w:val="22"/>
        </w:rPr>
        <w:t xml:space="preserve"> </w:t>
      </w:r>
      <w:r w:rsidRPr="0070342E">
        <w:rPr>
          <w:rFonts w:ascii="Gotham Rounded Book" w:hAnsi="Gotham Rounded Book"/>
          <w:sz w:val="22"/>
          <w:szCs w:val="22"/>
        </w:rPr>
        <w:t>de 20</w:t>
      </w:r>
      <w:r w:rsidR="00D702C7">
        <w:rPr>
          <w:rFonts w:ascii="Gotham Rounded Book" w:hAnsi="Gotham Rounded Book"/>
          <w:sz w:val="22"/>
          <w:szCs w:val="22"/>
        </w:rPr>
        <w:t>20</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 Administración y Finanzas, que al cierre del </w:t>
      </w:r>
      <w:r w:rsidR="00D702C7">
        <w:rPr>
          <w:rFonts w:ascii="Gotham Rounded Book" w:hAnsi="Gotham Rounded Book"/>
          <w:sz w:val="22"/>
          <w:szCs w:val="22"/>
        </w:rPr>
        <w:t>01</w:t>
      </w:r>
      <w:r w:rsidR="00E037FC">
        <w:rPr>
          <w:rFonts w:ascii="Gotham Rounded Book" w:hAnsi="Gotham Rounded Book"/>
          <w:sz w:val="22"/>
          <w:szCs w:val="22"/>
        </w:rPr>
        <w:t xml:space="preserve"> de </w:t>
      </w:r>
      <w:r w:rsidR="00D702C7">
        <w:rPr>
          <w:rFonts w:ascii="Gotham Rounded Book" w:hAnsi="Gotham Rounded Book"/>
          <w:sz w:val="22"/>
          <w:szCs w:val="22"/>
        </w:rPr>
        <w:t xml:space="preserve">enero </w:t>
      </w:r>
      <w:r w:rsidR="00E037FC">
        <w:rPr>
          <w:rFonts w:ascii="Gotham Rounded Book" w:hAnsi="Gotham Rounded Book"/>
          <w:sz w:val="22"/>
          <w:szCs w:val="22"/>
        </w:rPr>
        <w:t xml:space="preserve">de </w:t>
      </w:r>
      <w:r w:rsidRPr="0070342E">
        <w:rPr>
          <w:rFonts w:ascii="Gotham Rounded Book" w:hAnsi="Gotham Rounded Book"/>
          <w:sz w:val="22"/>
          <w:szCs w:val="22"/>
        </w:rPr>
        <w:t>20</w:t>
      </w:r>
      <w:r w:rsidR="00D702C7">
        <w:rPr>
          <w:rFonts w:ascii="Gotham Rounded Book" w:hAnsi="Gotham Rounded Book"/>
          <w:sz w:val="22"/>
          <w:szCs w:val="22"/>
        </w:rPr>
        <w:t>20</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de $</w:t>
      </w:r>
      <w:r w:rsidR="00D702C7">
        <w:rPr>
          <w:rFonts w:ascii="Gotham Rounded Book" w:hAnsi="Gotham Rounded Book"/>
          <w:sz w:val="22"/>
          <w:szCs w:val="22"/>
        </w:rPr>
        <w:t>20,520,563.85</w:t>
      </w:r>
      <w:r w:rsidRPr="0070342E">
        <w:rPr>
          <w:rFonts w:ascii="Gotham Rounded Book" w:hAnsi="Gotham Rounded Book"/>
          <w:sz w:val="22"/>
          <w:szCs w:val="22"/>
        </w:rPr>
        <w:t xml:space="preserve">, </w:t>
      </w:r>
      <w:r w:rsidR="008B3B41" w:rsidRPr="0070342E">
        <w:rPr>
          <w:rFonts w:ascii="Gotham Rounded Book" w:hAnsi="Gotham Rounded Book"/>
          <w:sz w:val="22"/>
          <w:szCs w:val="22"/>
        </w:rPr>
        <w:t xml:space="preserve">por litigios judiciales,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w:t>
      </w:r>
      <w:r w:rsidR="00E037FC">
        <w:rPr>
          <w:rFonts w:ascii="Gotham Rounded Book" w:hAnsi="Gotham Rounded Book"/>
          <w:sz w:val="22"/>
          <w:szCs w:val="22"/>
        </w:rPr>
        <w:t xml:space="preserve">2020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w:t>
      </w:r>
      <w:r w:rsidR="00D702C7">
        <w:rPr>
          <w:rFonts w:ascii="Gotham Rounded Book" w:hAnsi="Gotham Rounded Book"/>
          <w:sz w:val="22"/>
          <w:szCs w:val="22"/>
        </w:rPr>
        <w:t>4,543,984.68</w:t>
      </w:r>
      <w:r w:rsidRPr="0070342E">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0B0A340E"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D702C7">
        <w:rPr>
          <w:rFonts w:ascii="Gotham Rounded Book" w:hAnsi="Gotham Rounded Book"/>
          <w:sz w:val="22"/>
          <w:szCs w:val="22"/>
        </w:rPr>
        <w:t>20,520,563.85</w:t>
      </w:r>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224B0950"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D702C7">
        <w:rPr>
          <w:rFonts w:ascii="Gotham Rounded Book" w:hAnsi="Gotham Rounded Book"/>
          <w:sz w:val="22"/>
          <w:szCs w:val="22"/>
        </w:rPr>
        <w:t>20,520,563.85</w:t>
      </w:r>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2920B710" w14:textId="77777777" w:rsidR="00135D60" w:rsidRDefault="00135D60"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52017636" w:rsidR="00932DC9" w:rsidRDefault="008F5CBB" w:rsidP="00AA27F3">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F40269">
        <w:rPr>
          <w:rFonts w:ascii="Gotham Rounded Book" w:hAnsi="Gotham Rounded Book"/>
          <w:sz w:val="22"/>
          <w:szCs w:val="22"/>
        </w:rPr>
        <w:t>183</w:t>
      </w:r>
      <w:r w:rsidR="00044624">
        <w:rPr>
          <w:rFonts w:ascii="Gotham Rounded Book" w:hAnsi="Gotham Rounded Book"/>
          <w:sz w:val="22"/>
          <w:szCs w:val="22"/>
        </w:rPr>
        <w:t>,448,360.00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 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F40269">
        <w:rPr>
          <w:rFonts w:ascii="Gotham Rounded Book" w:hAnsi="Gotham Rounded Book"/>
          <w:sz w:val="22"/>
          <w:szCs w:val="22"/>
        </w:rPr>
        <w:t>20</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3BA5EE3E"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registró</w:t>
      </w:r>
      <w:r w:rsidR="00266E3C" w:rsidRPr="00522539">
        <w:rPr>
          <w:rFonts w:ascii="Gotham Rounded Book" w:hAnsi="Gotham Rounded Book"/>
          <w:sz w:val="22"/>
          <w:szCs w:val="22"/>
        </w:rPr>
        <w:t xml:space="preserve"> </w:t>
      </w:r>
      <w:r w:rsidR="009463F8" w:rsidRPr="00522539">
        <w:rPr>
          <w:rFonts w:ascii="Gotham Rounded Book" w:hAnsi="Gotham Rounded Book"/>
          <w:sz w:val="22"/>
          <w:szCs w:val="22"/>
        </w:rPr>
        <w:t xml:space="preserve">la </w:t>
      </w:r>
      <w:r w:rsidR="00FB7D4B" w:rsidRPr="00522539">
        <w:rPr>
          <w:rFonts w:ascii="Gotham Rounded Book" w:hAnsi="Gotham Rounded Book"/>
          <w:sz w:val="22"/>
          <w:szCs w:val="22"/>
        </w:rPr>
        <w:t>modificaci</w:t>
      </w:r>
      <w:r w:rsidR="009463F8" w:rsidRPr="00522539">
        <w:rPr>
          <w:rFonts w:ascii="Gotham Rounded Book" w:hAnsi="Gotham Rounded Book"/>
          <w:sz w:val="22"/>
          <w:szCs w:val="22"/>
        </w:rPr>
        <w:t xml:space="preserve">ón </w:t>
      </w:r>
      <w:r w:rsidR="00FB7D4B" w:rsidRPr="00522539">
        <w:rPr>
          <w:rFonts w:ascii="Gotham Rounded Book" w:hAnsi="Gotham Rounded Book"/>
          <w:sz w:val="22"/>
          <w:szCs w:val="22"/>
        </w:rPr>
        <w:t xml:space="preserve">a las asignaciones presupuestales realizadas por la 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814632">
        <w:rPr>
          <w:rFonts w:ascii="Gotham Rounded Book" w:hAnsi="Gotham Rounded Book"/>
          <w:sz w:val="22"/>
          <w:szCs w:val="22"/>
        </w:rPr>
        <w:t xml:space="preserve"> por </w:t>
      </w:r>
      <w:r w:rsidR="00522539" w:rsidRPr="00522539">
        <w:rPr>
          <w:rFonts w:ascii="Gotham Rounded Book" w:hAnsi="Gotham Rounded Book"/>
          <w:sz w:val="22"/>
          <w:szCs w:val="22"/>
        </w:rPr>
        <w:t xml:space="preserve">un monto de 21,342,000.00 pesos, debido a que el Pleno del Instituto de Transparencia, Acceso a la Información Pública, Protección de Datos Personales y Rendición de Cuentas de la Ciudad de México, aprobó mediante el Acuerdo 1254/SE/11-05/2020, del 11 de mayo de 2020, reducir el presupuesto de egresos del ejercicio fiscal 2020, por un monto de 21,342,000.00 pesos, con motivo de la emergencia sanitaria derivada del covid-19, con la finalidad de que las autoridades competentes orienten los recursos a las acciones y programas que determinen en aras de contrarrestar las consecuencias negativas que han derivado de la emergencia sanitaria, y con ello, disminuir las consecuencias </w:t>
      </w:r>
      <w:r w:rsidR="00522539">
        <w:rPr>
          <w:rFonts w:ascii="Gotham Rounded Book" w:hAnsi="Gotham Rounded Book"/>
          <w:sz w:val="22"/>
          <w:szCs w:val="22"/>
        </w:rPr>
        <w:t>del contagio y propagación del C</w:t>
      </w:r>
      <w:r w:rsidR="00522539" w:rsidRPr="00522539">
        <w:rPr>
          <w:rFonts w:ascii="Gotham Rounded Book" w:hAnsi="Gotham Rounded Book"/>
          <w:sz w:val="22"/>
          <w:szCs w:val="22"/>
        </w:rPr>
        <w:t>ovid-19.</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3940BAA6" w:rsidR="005F0CC9" w:rsidRDefault="005F0CC9" w:rsidP="007D292C">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2B14D0">
        <w:rPr>
          <w:rFonts w:ascii="Gotham Rounded Book" w:hAnsi="Gotham Rounded Book"/>
          <w:sz w:val="22"/>
          <w:szCs w:val="22"/>
        </w:rPr>
        <w:t>20</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2B14D0">
        <w:rPr>
          <w:rFonts w:ascii="Gotham Rounded Book" w:hAnsi="Gotham Rounded Book"/>
          <w:sz w:val="22"/>
          <w:szCs w:val="22"/>
        </w:rPr>
        <w:t>18</w:t>
      </w:r>
      <w:r w:rsidR="006A2211">
        <w:rPr>
          <w:rFonts w:ascii="Gotham Rounded Book" w:hAnsi="Gotham Rounded Book"/>
          <w:sz w:val="22"/>
          <w:szCs w:val="22"/>
        </w:rPr>
        <w:t>3,448,360.00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2A4C34F3" w14:textId="77777777" w:rsidR="006909D0" w:rsidRDefault="006909D0" w:rsidP="001958EE">
      <w:pPr>
        <w:pStyle w:val="Texto"/>
        <w:spacing w:after="0" w:line="276" w:lineRule="auto"/>
        <w:ind w:left="567" w:hanging="567"/>
        <w:rPr>
          <w:rFonts w:ascii="Gotham Rounded Book" w:hAnsi="Gotham Rounded Book"/>
          <w:sz w:val="22"/>
          <w:szCs w:val="22"/>
        </w:rPr>
      </w:pPr>
    </w:p>
    <w:p w14:paraId="25FF71FD" w14:textId="77777777" w:rsidR="006909D0" w:rsidRPr="005F0CC9" w:rsidRDefault="006909D0" w:rsidP="001958EE">
      <w:pPr>
        <w:pStyle w:val="Texto"/>
        <w:spacing w:after="0" w:line="276" w:lineRule="auto"/>
        <w:ind w:left="567" w:hanging="567"/>
        <w:rPr>
          <w:rFonts w:ascii="Gotham Rounded Book" w:hAnsi="Gotham Rounded Book"/>
          <w:sz w:val="22"/>
          <w:szCs w:val="22"/>
        </w:rPr>
      </w:pPr>
    </w:p>
    <w:p w14:paraId="5D47E5EA" w14:textId="7712C43E" w:rsidR="006909D0" w:rsidRPr="00522539"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lastRenderedPageBreak/>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r w:rsidR="006909D0">
        <w:rPr>
          <w:rFonts w:ascii="Gotham Rounded Book" w:hAnsi="Gotham Rounded Book"/>
          <w:sz w:val="22"/>
          <w:szCs w:val="22"/>
        </w:rPr>
        <w:t xml:space="preserve"> Se realizó el registro debido a la disminución realizada a la Ley de Ingresos Estimada por </w:t>
      </w:r>
      <w:r w:rsidR="006909D0" w:rsidRPr="00522539">
        <w:rPr>
          <w:rFonts w:ascii="Gotham Rounded Book" w:hAnsi="Gotham Rounded Book"/>
          <w:sz w:val="22"/>
          <w:szCs w:val="22"/>
        </w:rPr>
        <w:t>la modificación a las asignaciones presupuestales realizadas por la Secretaría de Administración y Finanzas del Gobierno de la Ciudad de México</w:t>
      </w:r>
      <w:r w:rsidR="006909D0">
        <w:rPr>
          <w:rFonts w:ascii="Gotham Rounded Book" w:hAnsi="Gotham Rounded Book"/>
          <w:sz w:val="22"/>
          <w:szCs w:val="22"/>
        </w:rPr>
        <w:t xml:space="preserve"> por </w:t>
      </w:r>
      <w:r w:rsidR="006909D0" w:rsidRPr="00522539">
        <w:rPr>
          <w:rFonts w:ascii="Gotham Rounded Book" w:hAnsi="Gotham Rounded Book"/>
          <w:sz w:val="22"/>
          <w:szCs w:val="22"/>
        </w:rPr>
        <w:t>un monto de 21,342,000.00 pesos, debido a que el Pleno del Instituto de Transparencia, Acceso a la Información Pública, Protección de Datos Personales y Rendición de Cuentas de la Ciudad de México, aprobó mediante el Acuerdo 1254/SE/11-05/2020, del 11 de mayo de 2020, reducir el presupuesto de egresos del ejercicio fiscal 2020, por un monto de 21,342,000.00 pesos, con motivo de la eme</w:t>
      </w:r>
      <w:r w:rsidR="006909D0">
        <w:rPr>
          <w:rFonts w:ascii="Gotham Rounded Book" w:hAnsi="Gotham Rounded Book"/>
          <w:sz w:val="22"/>
          <w:szCs w:val="22"/>
        </w:rPr>
        <w:t>rgencia sanitaria derivada del C</w:t>
      </w:r>
      <w:r w:rsidR="006909D0" w:rsidRPr="00522539">
        <w:rPr>
          <w:rFonts w:ascii="Gotham Rounded Book" w:hAnsi="Gotham Rounded Book"/>
          <w:sz w:val="22"/>
          <w:szCs w:val="22"/>
        </w:rPr>
        <w:t xml:space="preserve">ovid-19, con la finalidad de que las autoridades competentes orienten los recursos a las acciones y programas que determinen en aras de contrarrestar las consecuencias negativas que han derivado de la emergencia sanitaria, y con ello, disminuir las consecuencias </w:t>
      </w:r>
      <w:r w:rsidR="006909D0">
        <w:rPr>
          <w:rFonts w:ascii="Gotham Rounded Book" w:hAnsi="Gotham Rounded Book"/>
          <w:sz w:val="22"/>
          <w:szCs w:val="22"/>
        </w:rPr>
        <w:t>del contagio y propagación del C</w:t>
      </w:r>
      <w:r w:rsidR="006909D0" w:rsidRPr="00522539">
        <w:rPr>
          <w:rFonts w:ascii="Gotham Rounded Book" w:hAnsi="Gotham Rounded Book"/>
          <w:sz w:val="22"/>
          <w:szCs w:val="22"/>
        </w:rPr>
        <w:t>ovid-19.</w:t>
      </w:r>
    </w:p>
    <w:p w14:paraId="334ABC32" w14:textId="1E5FD3AA" w:rsidR="005F0CC9" w:rsidRDefault="005F0CC9" w:rsidP="006909D0">
      <w:pPr>
        <w:pStyle w:val="Texto"/>
        <w:spacing w:after="0" w:line="276" w:lineRule="auto"/>
        <w:ind w:left="0" w:firstLine="0"/>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w:t>
      </w:r>
      <w:r>
        <w:lastRenderedPageBreak/>
        <w:t xml:space="preserve">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5E326D">
      <w:pPr>
        <w:autoSpaceDE w:val="0"/>
        <w:autoSpaceDN w:val="0"/>
        <w:adjustRightInd w:val="0"/>
        <w:spacing w:after="0"/>
        <w:ind w:left="992" w:hanging="992"/>
        <w:jc w:val="left"/>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77777777" w:rsidR="008B5272" w:rsidRDefault="008B5272" w:rsidP="00913086">
      <w:pPr>
        <w:pStyle w:val="documento"/>
      </w:pPr>
    </w:p>
    <w:p w14:paraId="37E77FF5" w14:textId="77777777" w:rsidR="00661E72" w:rsidRDefault="00661E72" w:rsidP="00913086">
      <w:pPr>
        <w:pStyle w:val="documento"/>
        <w:rPr>
          <w:b/>
        </w:rPr>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0395B6CA"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1F02C27A" w14:textId="77777777" w:rsidR="00AC18AF" w:rsidRDefault="00AC18AF" w:rsidP="00403B7A">
      <w:pPr>
        <w:pStyle w:val="documento"/>
      </w:pPr>
    </w:p>
    <w:p w14:paraId="47EB848F" w14:textId="44411C9B" w:rsidR="00AC18AF" w:rsidRDefault="00AC18AF" w:rsidP="00403B7A">
      <w:pPr>
        <w:pStyle w:val="documento"/>
      </w:pPr>
      <w:r>
        <w:t>Asimismo</w:t>
      </w:r>
      <w:r w:rsidR="005B04C5">
        <w:t>, el Instituto realiza la retención del IVA,</w:t>
      </w:r>
      <w:r>
        <w:t xml:space="preserve"> de conformidad con el artículo 1.A. Contribuyentes obligados a retener el IVA.</w:t>
      </w:r>
    </w:p>
    <w:p w14:paraId="10F32E9E" w14:textId="77777777" w:rsidR="005B04C5" w:rsidRDefault="005B04C5" w:rsidP="00403B7A">
      <w:pPr>
        <w:pStyle w:val="documento"/>
      </w:pPr>
    </w:p>
    <w:p w14:paraId="2B6EB1A1" w14:textId="172471B2" w:rsidR="00AC18AF" w:rsidRDefault="00AC18AF" w:rsidP="00403B7A">
      <w:pPr>
        <w:pStyle w:val="documento"/>
      </w:pPr>
      <w:r>
        <w:t>Fracción II. Sean personas morales que:</w:t>
      </w:r>
    </w:p>
    <w:p w14:paraId="6C2A7C0C" w14:textId="0E981AF0" w:rsidR="00AC18AF" w:rsidRDefault="00AC18AF" w:rsidP="00AC18AF">
      <w:pPr>
        <w:pStyle w:val="documento"/>
        <w:numPr>
          <w:ilvl w:val="0"/>
          <w:numId w:val="17"/>
        </w:numPr>
      </w:pPr>
      <w:r>
        <w:t>Reciban servicios personales independientes, o usen o gocen temporalmente bienes, prestados u otorgados por personas físicas.</w:t>
      </w:r>
    </w:p>
    <w:p w14:paraId="5C5021BD" w14:textId="77777777" w:rsidR="005B04C5" w:rsidRDefault="005B04C5" w:rsidP="005B04C5">
      <w:pPr>
        <w:pStyle w:val="documento"/>
        <w:ind w:left="720"/>
      </w:pPr>
    </w:p>
    <w:p w14:paraId="07060FC8" w14:textId="37255DD7" w:rsidR="00AC18AF" w:rsidRDefault="00AC18AF" w:rsidP="00AC18AF">
      <w:pPr>
        <w:pStyle w:val="documento"/>
      </w:pPr>
      <w:r>
        <w:t xml:space="preserve">Fracción IV. Sean personas morales o personas físicas con actividades empresariales, que reciban servicios a través de los cuales se pongan a disposición del contratante o de una parte </w:t>
      </w:r>
      <w:r>
        <w:lastRenderedPageBreak/>
        <w:t>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w:t>
      </w:r>
      <w:r w:rsidR="005B04C5">
        <w:t>. En este caso la retención se hará por el 6% del valor de la contraprestación efectivamente pagada.</w:t>
      </w:r>
    </w:p>
    <w:p w14:paraId="3A465486" w14:textId="77777777" w:rsidR="005B04C5" w:rsidRDefault="005B04C5" w:rsidP="00AC18AF">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r>
        <w:rPr>
          <w:rFonts w:ascii="Arial" w:hAnsi="Arial" w:cs="Arial"/>
          <w:lang w:eastAsia="es-MX"/>
        </w:rPr>
        <w:t>y Dirección de Comunicación Social.</w:t>
      </w:r>
    </w:p>
    <w:p w14:paraId="0942E8A9" w14:textId="77777777" w:rsidR="00B729BE" w:rsidRDefault="00B729BE" w:rsidP="000618B5">
      <w:pPr>
        <w:pStyle w:val="documento"/>
      </w:pPr>
    </w:p>
    <w:p w14:paraId="4CF6FA39" w14:textId="4A55844B" w:rsidR="007A1B8E" w:rsidRDefault="003B6B9D" w:rsidP="000618B5">
      <w:pPr>
        <w:pStyle w:val="documento"/>
      </w:pPr>
      <w:r>
        <w:t>Por otra parte</w:t>
      </w:r>
      <w:r w:rsidR="003B1F8B">
        <w:t>, con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p>
    <w:p w14:paraId="4DC10816" w14:textId="77777777" w:rsidR="00854273" w:rsidRDefault="00854273" w:rsidP="000618B5">
      <w:pPr>
        <w:pStyle w:val="documento"/>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6F265DC8" w14:textId="77777777" w:rsidR="00885AFC" w:rsidRDefault="00885AFC" w:rsidP="00885AFC">
      <w:pPr>
        <w:pStyle w:val="documento"/>
      </w:pPr>
      <w:r>
        <w:lastRenderedPageBreak/>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12BD9754"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a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13C83D84"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 xml:space="preserve">de conformidad con el Decreto </w:t>
      </w:r>
      <w:r w:rsidR="002B14D0">
        <w:t xml:space="preserve">por el que se expide el </w:t>
      </w:r>
      <w:r w:rsidR="00856078" w:rsidRPr="00C73C17">
        <w:t>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w:t>
      </w:r>
      <w:r w:rsidR="002B14D0">
        <w:t>20</w:t>
      </w:r>
      <w:r w:rsidR="00856078" w:rsidRPr="00C73C17">
        <w:t xml:space="preserve"> aprobado por </w:t>
      </w:r>
      <w:r w:rsidR="00E15015">
        <w:t xml:space="preserve">el Congreso de la Ciudad de México, </w:t>
      </w:r>
      <w:r w:rsidR="004473DF">
        <w:t>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2B14D0">
        <w:t>23</w:t>
      </w:r>
      <w:r w:rsidR="006A545E" w:rsidRPr="004473DF">
        <w:t xml:space="preserve"> de diciembre de 201</w:t>
      </w:r>
      <w:r w:rsidR="002B14D0">
        <w:t>9</w:t>
      </w:r>
      <w:r w:rsidR="00856078" w:rsidRPr="004473DF">
        <w:t xml:space="preserve">, </w:t>
      </w:r>
      <w:r w:rsidR="009C1707">
        <w:t>l</w:t>
      </w:r>
      <w:r w:rsidR="00305056">
        <w:t xml:space="preserve">e </w:t>
      </w:r>
      <w:r w:rsidR="00305056">
        <w:lastRenderedPageBreak/>
        <w:t xml:space="preserve">autorizaron </w:t>
      </w:r>
      <w:r w:rsidRPr="00C73C17">
        <w:t>los recursos para su operación</w:t>
      </w:r>
      <w:r>
        <w:t>,</w:t>
      </w:r>
      <w:r w:rsidRPr="00C73C17">
        <w:t xml:space="preserve"> </w:t>
      </w:r>
      <w:r w:rsidR="00856078" w:rsidRPr="004473DF">
        <w:t>por lo que los estados financieros se realizan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su Programa Operativo Anual</w:t>
      </w:r>
      <w:r w:rsidR="0066440E">
        <w:t xml:space="preserve"> 2020</w:t>
      </w:r>
      <w:r w:rsidR="00AA6130">
        <w:t xml:space="preserve">.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264F732" w14:textId="77777777" w:rsidR="00A41F9F" w:rsidRDefault="00A41F9F"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766BF15B" w14:textId="77777777" w:rsidR="00A41F9F" w:rsidRDefault="00A41F9F"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4F279DE1" w:rsidR="00BD0E8B" w:rsidRDefault="00BD0E8B" w:rsidP="000D6A51">
      <w:pPr>
        <w:pStyle w:val="documento"/>
        <w:tabs>
          <w:tab w:val="left" w:pos="567"/>
        </w:tabs>
      </w:pPr>
      <w:r>
        <w:t>-</w:t>
      </w:r>
      <w:r>
        <w:tab/>
        <w:t>Las Normas de Internacionales de Contabilidad para el Sector Publico (NICSP) emitidas por la Junta de Normas Internacional</w:t>
      </w:r>
      <w:r w:rsidR="004074B2">
        <w:t>es de Contabilidad del Sector Pú</w:t>
      </w:r>
      <w:r>
        <w:t>blico (International Public Sector Accounting Standards Board, International F</w:t>
      </w:r>
      <w:r w:rsidR="00B07416">
        <w:t>ederation Accounting Committee).</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52779D56" w14:textId="6F711A0D" w:rsidR="00BD0E8B" w:rsidRDefault="008C7342" w:rsidP="00BD0E8B">
      <w:pPr>
        <w:pStyle w:val="documento"/>
      </w:pPr>
      <w:r>
        <w:lastRenderedPageBreak/>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99CC076" w:rsidR="00BD0E8B" w:rsidRDefault="00BD0E8B"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615B44C2" w14:textId="77777777" w:rsidR="00B4160C" w:rsidRDefault="00B4160C"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77777777" w:rsidR="00BD0E8B" w:rsidRDefault="00BD0E8B" w:rsidP="00BD0E8B">
      <w:pPr>
        <w:pStyle w:val="documento"/>
      </w:pPr>
      <w:r>
        <w:t>Licencias y software</w:t>
      </w:r>
      <w:r>
        <w:tab/>
        <w:t>100%</w:t>
      </w:r>
    </w:p>
    <w:p w14:paraId="6E30646B" w14:textId="0D5B9577" w:rsidR="00E64B79" w:rsidRDefault="00E64B79" w:rsidP="00BD0E8B">
      <w:pPr>
        <w:pStyle w:val="documento"/>
      </w:pPr>
      <w:r>
        <w:t>Patentes, Marcas y Derechos 10%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lastRenderedPageBreak/>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2A586B85" w:rsidR="00DA4E45" w:rsidRDefault="00A42F56" w:rsidP="00C46406">
      <w:pPr>
        <w:ind w:left="0" w:firstLine="0"/>
        <w:rPr>
          <w:rFonts w:ascii="Gotham Rounded Book" w:hAnsi="Gotham Rounded Book"/>
          <w:b/>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F46F5E">
        <w:rPr>
          <w:rFonts w:ascii="Gotham Rounded Book" w:hAnsi="Gotham Rounded Book"/>
        </w:rPr>
        <w:t>30</w:t>
      </w:r>
      <w:r w:rsidR="00C27D0E">
        <w:rPr>
          <w:rFonts w:ascii="Gotham Rounded Book" w:hAnsi="Gotham Rounded Book"/>
        </w:rPr>
        <w:t xml:space="preserve"> de </w:t>
      </w:r>
      <w:r w:rsidR="00F46F5E">
        <w:rPr>
          <w:rFonts w:ascii="Gotham Rounded Book" w:hAnsi="Gotham Rounded Book"/>
        </w:rPr>
        <w:t>junio</w:t>
      </w:r>
      <w:r w:rsidR="00754404">
        <w:rPr>
          <w:rFonts w:ascii="Gotham Rounded Book" w:hAnsi="Gotham Rounded Book"/>
        </w:rPr>
        <w:t xml:space="preserve"> </w:t>
      </w:r>
      <w:r w:rsidR="00C46406">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20</w:t>
      </w:r>
      <w:r w:rsidR="003226FB" w:rsidRPr="003226FB">
        <w:rPr>
          <w:rFonts w:ascii="Gotham Rounded Book" w:hAnsi="Gotham Rounded Book"/>
        </w:rPr>
        <w:t>, las ministraciones de recursos recibidas por el Instituto</w:t>
      </w:r>
      <w:r w:rsidR="00C46406">
        <w:rPr>
          <w:rFonts w:ascii="Gotham Rounded Book" w:hAnsi="Gotham Rounded Book"/>
        </w:rPr>
        <w:t xml:space="preserve"> por </w:t>
      </w:r>
      <w:r w:rsidR="00C473A7">
        <w:rPr>
          <w:rFonts w:ascii="Gotham Rounded Book" w:hAnsi="Gotham Rounded Book"/>
        </w:rPr>
        <w:t>79,724,180.00</w:t>
      </w:r>
      <w:r w:rsidR="00754404">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5C2BCB77"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E65DB3">
        <w:rPr>
          <w:rFonts w:ascii="Gotham Rounded Book" w:hAnsi="Gotham Rounded Book"/>
        </w:rPr>
        <w:t xml:space="preserve">de enero al </w:t>
      </w:r>
      <w:r w:rsidR="00F46F5E">
        <w:rPr>
          <w:rFonts w:ascii="Gotham Rounded Book" w:hAnsi="Gotham Rounded Book"/>
        </w:rPr>
        <w:t>30</w:t>
      </w:r>
      <w:r w:rsidR="00E65DB3">
        <w:rPr>
          <w:rFonts w:ascii="Gotham Rounded Book" w:hAnsi="Gotham Rounded Book"/>
        </w:rPr>
        <w:t xml:space="preserve"> de </w:t>
      </w:r>
      <w:r w:rsidR="00F46F5E">
        <w:rPr>
          <w:rFonts w:ascii="Gotham Rounded Book" w:hAnsi="Gotham Rounded Book"/>
        </w:rPr>
        <w:t>junio</w:t>
      </w:r>
      <w:r w:rsidR="00754404">
        <w:rPr>
          <w:rFonts w:ascii="Gotham Rounded Book" w:hAnsi="Gotham Rounded Book"/>
        </w:rPr>
        <w:t xml:space="preserve"> </w:t>
      </w:r>
      <w:r w:rsidR="00671701">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w:t>
      </w:r>
      <w:r w:rsidR="0037638D">
        <w:rPr>
          <w:rFonts w:ascii="Gotham Rounded Book" w:hAnsi="Gotham Rounded Book"/>
        </w:rPr>
        <w:t>20</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1233CF">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7A006E30" w:rsidR="00015040" w:rsidRPr="001233CF" w:rsidRDefault="0055034A" w:rsidP="00954A0A">
            <w:pPr>
              <w:spacing w:after="0"/>
              <w:jc w:val="right"/>
              <w:rPr>
                <w:rFonts w:ascii="Gotham Rounded Book" w:hAnsi="Gotham Rounded Book"/>
              </w:rPr>
            </w:pPr>
            <w:r>
              <w:rPr>
                <w:rFonts w:ascii="Gotham Rounded Book" w:hAnsi="Gotham Rounded Book"/>
              </w:rPr>
              <w:t>79,724,180.00</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09E5BF4B" w:rsidR="00015040" w:rsidRPr="009D3AA6" w:rsidRDefault="00C04488" w:rsidP="00A01CD9">
            <w:pPr>
              <w:spacing w:after="0"/>
              <w:jc w:val="right"/>
              <w:rPr>
                <w:rFonts w:ascii="Gotham Rounded Book" w:hAnsi="Gotham Rounded Book"/>
              </w:rPr>
            </w:pPr>
            <w:r>
              <w:rPr>
                <w:rFonts w:ascii="Gotham Rounded Book" w:hAnsi="Gotham Rounded Book"/>
              </w:rPr>
              <w:t>56,025,397.41</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632BC589" w:rsidR="00754404" w:rsidRPr="009D3AA6" w:rsidRDefault="00C04488" w:rsidP="00754404">
            <w:pPr>
              <w:spacing w:after="0"/>
              <w:jc w:val="right"/>
              <w:rPr>
                <w:rFonts w:ascii="Gotham Rounded Book" w:hAnsi="Gotham Rounded Book"/>
              </w:rPr>
            </w:pPr>
            <w:r>
              <w:rPr>
                <w:rFonts w:ascii="Gotham Rounded Book" w:hAnsi="Gotham Rounded Book"/>
              </w:rPr>
              <w:t>23,698,782.59</w:t>
            </w:r>
          </w:p>
        </w:tc>
      </w:tr>
    </w:tbl>
    <w:p w14:paraId="0C5E8651" w14:textId="4209FE79" w:rsidR="00A4409D" w:rsidRDefault="00A4409D" w:rsidP="00735F7E">
      <w:pPr>
        <w:pStyle w:val="Textoindependiente22"/>
        <w:rPr>
          <w:rFonts w:ascii="Gotham Rounded Book" w:eastAsia="Calibri" w:hAnsi="Gotham Rounded Book"/>
          <w:b/>
          <w:sz w:val="22"/>
          <w:szCs w:val="22"/>
          <w:lang w:val="es-MX" w:eastAsia="en-US"/>
        </w:rPr>
      </w:pPr>
    </w:p>
    <w:p w14:paraId="1EB92CF1" w14:textId="6FA99E5A" w:rsidR="00A41F9F" w:rsidRPr="00522539" w:rsidRDefault="00A41F9F" w:rsidP="00A41F9F">
      <w:pPr>
        <w:pStyle w:val="Texto"/>
        <w:autoSpaceDE w:val="0"/>
        <w:autoSpaceDN w:val="0"/>
        <w:adjustRightInd w:val="0"/>
        <w:spacing w:after="0" w:line="276" w:lineRule="auto"/>
        <w:ind w:left="0" w:firstLine="0"/>
        <w:rPr>
          <w:rFonts w:ascii="Gotham Rounded Book" w:hAnsi="Gotham Rounded Book"/>
          <w:sz w:val="22"/>
          <w:szCs w:val="22"/>
        </w:rPr>
      </w:pPr>
      <w:r>
        <w:rPr>
          <w:rFonts w:ascii="Gotham Rounded Book" w:hAnsi="Gotham Rounded Book"/>
          <w:sz w:val="22"/>
          <w:szCs w:val="22"/>
        </w:rPr>
        <w:t xml:space="preserve">El Pleno del Instituto de Transparencia, Acceso a la Información Pública, Protección de Datos Personales y Rendición de Cuentas de la Ciudad de México, aprobó mediante Acuerdo </w:t>
      </w:r>
      <w:r w:rsidRPr="00522539">
        <w:rPr>
          <w:rFonts w:ascii="Gotham Rounded Book" w:hAnsi="Gotham Rounded Book"/>
          <w:sz w:val="22"/>
          <w:szCs w:val="22"/>
        </w:rPr>
        <w:t>1254/SE/11-05/2020, del 11 de mayo de 2020</w:t>
      </w:r>
      <w:r>
        <w:rPr>
          <w:rFonts w:ascii="Gotham Rounded Book" w:hAnsi="Gotham Rounded Book"/>
          <w:sz w:val="22"/>
          <w:szCs w:val="22"/>
        </w:rPr>
        <w:t>, la Afectación Externa núm. 2, en la que se redujo el Presupuesto de Egresos del Ejercicio F</w:t>
      </w:r>
      <w:r w:rsidRPr="00522539">
        <w:rPr>
          <w:rFonts w:ascii="Gotham Rounded Book" w:hAnsi="Gotham Rounded Book"/>
          <w:sz w:val="22"/>
          <w:szCs w:val="22"/>
        </w:rPr>
        <w:t xml:space="preserve">iscal 2020, </w:t>
      </w:r>
      <w:r>
        <w:rPr>
          <w:rFonts w:ascii="Gotham Rounded Book" w:hAnsi="Gotham Rounded Book"/>
          <w:sz w:val="22"/>
          <w:szCs w:val="22"/>
        </w:rPr>
        <w:t xml:space="preserve">en </w:t>
      </w:r>
      <w:r w:rsidRPr="00522539">
        <w:rPr>
          <w:rFonts w:ascii="Gotham Rounded Book" w:hAnsi="Gotham Rounded Book"/>
          <w:sz w:val="22"/>
          <w:szCs w:val="22"/>
        </w:rPr>
        <w:t>21,342,000.00 pesos, con motivo de la eme</w:t>
      </w:r>
      <w:r>
        <w:rPr>
          <w:rFonts w:ascii="Gotham Rounded Book" w:hAnsi="Gotham Rounded Book"/>
          <w:sz w:val="22"/>
          <w:szCs w:val="22"/>
        </w:rPr>
        <w:t>rgencia sanitaria derivada del C</w:t>
      </w:r>
      <w:r w:rsidRPr="00522539">
        <w:rPr>
          <w:rFonts w:ascii="Gotham Rounded Book" w:hAnsi="Gotham Rounded Book"/>
          <w:sz w:val="22"/>
          <w:szCs w:val="22"/>
        </w:rPr>
        <w:t xml:space="preserve">ovid-19, con la finalidad de que las autoridades competentes orienten los recursos a las acciones y programas que determinen en aras de contrarrestar las consecuencias negativas que han derivado de la emergencia sanitaria, y con ello, disminuir las consecuencias </w:t>
      </w:r>
      <w:r>
        <w:rPr>
          <w:rFonts w:ascii="Gotham Rounded Book" w:hAnsi="Gotham Rounded Book"/>
          <w:sz w:val="22"/>
          <w:szCs w:val="22"/>
        </w:rPr>
        <w:t>del contagio y propagación del C</w:t>
      </w:r>
      <w:r w:rsidRPr="00522539">
        <w:rPr>
          <w:rFonts w:ascii="Gotham Rounded Book" w:hAnsi="Gotham Rounded Book"/>
          <w:sz w:val="22"/>
          <w:szCs w:val="22"/>
        </w:rPr>
        <w:t>ovid-19.</w:t>
      </w:r>
      <w:r>
        <w:rPr>
          <w:rFonts w:ascii="Gotham Rounded Book" w:hAnsi="Gotham Rounded Book"/>
          <w:sz w:val="22"/>
          <w:szCs w:val="22"/>
        </w:rPr>
        <w:t xml:space="preserve"> El presupuesto modificado del ejercicio 2020 del Instituto es por </w:t>
      </w:r>
      <w:r w:rsidRPr="00A41F9F">
        <w:rPr>
          <w:rFonts w:ascii="Gotham Rounded Book" w:hAnsi="Gotham Rounded Book"/>
          <w:sz w:val="22"/>
          <w:szCs w:val="22"/>
        </w:rPr>
        <w:t>162,106,360.00</w:t>
      </w:r>
      <w:r>
        <w:rPr>
          <w:rFonts w:ascii="Gotham Rounded Book" w:hAnsi="Gotham Rounded Book"/>
          <w:sz w:val="22"/>
          <w:szCs w:val="22"/>
        </w:rPr>
        <w:t xml:space="preserve"> pesos.</w:t>
      </w:r>
    </w:p>
    <w:p w14:paraId="30DF3E9B" w14:textId="77777777" w:rsidR="00A41F9F" w:rsidRDefault="00A41F9F" w:rsidP="00735F7E">
      <w:pPr>
        <w:pStyle w:val="Textoindependiente22"/>
        <w:rPr>
          <w:rFonts w:ascii="Gotham Rounded Book" w:eastAsia="Calibri" w:hAnsi="Gotham Rounded Book"/>
          <w:b/>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29A83027" w:rsidR="00735F7E" w:rsidRDefault="00735F7E" w:rsidP="00735F7E">
      <w:pPr>
        <w:spacing w:after="0" w:line="240" w:lineRule="auto"/>
        <w:ind w:left="0" w:firstLine="0"/>
        <w:rPr>
          <w:rFonts w:ascii="Gotham Rounded Book" w:hAnsi="Gotham Rounded Book"/>
        </w:rPr>
      </w:pPr>
      <w:r w:rsidRPr="00A41F9F">
        <w:rPr>
          <w:rFonts w:ascii="Gotham Rounded Book" w:hAnsi="Gotham Rounded Book"/>
        </w:rPr>
        <w:t>Los estados financieros y sus notas fueron autorizados para su emisión el</w:t>
      </w:r>
      <w:r w:rsidR="00DA4E45" w:rsidRPr="00A41F9F">
        <w:rPr>
          <w:rFonts w:ascii="Gotham Rounded Book" w:hAnsi="Gotham Rounded Book"/>
        </w:rPr>
        <w:t xml:space="preserve"> </w:t>
      </w:r>
      <w:r w:rsidR="00F46F5E">
        <w:rPr>
          <w:rFonts w:ascii="Gotham Rounded Book" w:hAnsi="Gotham Rounded Book"/>
        </w:rPr>
        <w:t>03</w:t>
      </w:r>
      <w:r w:rsidR="000048B7" w:rsidRPr="00A41F9F">
        <w:rPr>
          <w:rFonts w:ascii="Gotham Rounded Book" w:hAnsi="Gotham Rounded Book"/>
        </w:rPr>
        <w:t xml:space="preserve"> de </w:t>
      </w:r>
      <w:r w:rsidR="00F46F5E">
        <w:rPr>
          <w:rFonts w:ascii="Gotham Rounded Book" w:hAnsi="Gotham Rounded Book"/>
        </w:rPr>
        <w:t>jul</w:t>
      </w:r>
      <w:r w:rsidR="00A41F9F" w:rsidRPr="00A41F9F">
        <w:rPr>
          <w:rFonts w:ascii="Gotham Rounded Book" w:hAnsi="Gotham Rounded Book"/>
        </w:rPr>
        <w:t xml:space="preserve">io </w:t>
      </w:r>
      <w:r w:rsidR="00F74368" w:rsidRPr="00A41F9F">
        <w:rPr>
          <w:rFonts w:ascii="Gotham Rounded Book" w:hAnsi="Gotham Rounded Book"/>
        </w:rPr>
        <w:t xml:space="preserve">de </w:t>
      </w:r>
      <w:r w:rsidRPr="00A41F9F">
        <w:rPr>
          <w:rFonts w:ascii="Gotham Rounded Book" w:hAnsi="Gotham Rounded Book"/>
        </w:rPr>
        <w:t>20</w:t>
      </w:r>
      <w:r w:rsidR="00DA4E45" w:rsidRPr="00A41F9F">
        <w:rPr>
          <w:rFonts w:ascii="Gotham Rounded Book" w:hAnsi="Gotham Rounded Book"/>
        </w:rPr>
        <w:t>20</w:t>
      </w:r>
      <w:r w:rsidRPr="00A41F9F">
        <w:rPr>
          <w:rFonts w:ascii="Gotham Rounded Book" w:hAnsi="Gotham Rounded Book"/>
        </w:rPr>
        <w:t xml:space="preserve"> por</w:t>
      </w:r>
      <w:r w:rsidRPr="008F4FFE">
        <w:rPr>
          <w:rFonts w:ascii="Gotham Rounded Book" w:hAnsi="Gotham Rounded Book"/>
        </w:rPr>
        <w:t xml:space="preserve"> los</w:t>
      </w:r>
      <w:r w:rsidRPr="00326DAB">
        <w:rPr>
          <w:rFonts w:ascii="Gotham Rounded Book" w:hAnsi="Gotham Rounded Book"/>
        </w:rPr>
        <w:t xml:space="preserve"> funcionarios del Instituto de </w:t>
      </w:r>
      <w:r w:rsidR="00E37592">
        <w:rPr>
          <w:rFonts w:ascii="Gotham Rounded Book" w:hAnsi="Gotham Rounded Book"/>
        </w:rPr>
        <w:t xml:space="preserve">Transparencia, </w:t>
      </w:r>
      <w:r w:rsidRPr="00326DAB">
        <w:rPr>
          <w:rFonts w:ascii="Gotham Rounded Book" w:hAnsi="Gotham Rounded Book"/>
        </w:rPr>
        <w:t>Acceso a la Información Pública</w:t>
      </w:r>
      <w:r w:rsidR="00E37592">
        <w:rPr>
          <w:rFonts w:ascii="Gotham Rounded Book" w:hAnsi="Gotham Rounded Book"/>
        </w:rPr>
        <w:t xml:space="preserve">, </w:t>
      </w:r>
      <w:r w:rsidRPr="00326DAB">
        <w:rPr>
          <w:rFonts w:ascii="Gotham Rounded Book" w:hAnsi="Gotham Rounded Book"/>
        </w:rPr>
        <w:t>Protección de Datos</w:t>
      </w:r>
      <w:r w:rsidRPr="00735F7E">
        <w:rPr>
          <w:rFonts w:ascii="Gotham Rounded Book" w:hAnsi="Gotham Rounded Book"/>
        </w:rPr>
        <w:t xml:space="preserve"> Personales </w:t>
      </w:r>
      <w:r w:rsidR="00E37592">
        <w:rPr>
          <w:rFonts w:ascii="Gotham Rounded Book" w:hAnsi="Gotham Rounded Book"/>
        </w:rPr>
        <w:t>y Rendición de Cuentas de la Ciudad de México</w:t>
      </w:r>
      <w:r w:rsidRPr="00735F7E">
        <w:rPr>
          <w:rFonts w:ascii="Gotham Rounded Book" w:hAnsi="Gotham Rounded Book"/>
        </w:rPr>
        <w:t>.</w:t>
      </w:r>
    </w:p>
    <w:p w14:paraId="5155C526" w14:textId="77777777" w:rsidR="002073EC" w:rsidRDefault="002073EC" w:rsidP="00735F7E">
      <w:pPr>
        <w:spacing w:after="0" w:line="240" w:lineRule="auto"/>
        <w:ind w:left="0" w:firstLine="0"/>
        <w:rPr>
          <w:rFonts w:ascii="Gotham Rounded Book" w:hAnsi="Gotham Rounded Book"/>
        </w:rPr>
      </w:pPr>
    </w:p>
    <w:p w14:paraId="630514ED" w14:textId="77777777" w:rsidR="002073EC" w:rsidRPr="002073EC" w:rsidRDefault="002073EC" w:rsidP="002073EC">
      <w:pPr>
        <w:spacing w:after="0" w:line="240" w:lineRule="auto"/>
        <w:ind w:left="284" w:right="332"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578C0EB4" w:rsidR="00735F7E" w:rsidRPr="002F2AF3" w:rsidRDefault="00735F7E" w:rsidP="00446E01">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MTRO. JULIO C</w:t>
            </w:r>
            <w:r w:rsidR="00446E01">
              <w:rPr>
                <w:rFonts w:ascii="Arial Narrow" w:hAnsi="Arial Narrow"/>
                <w:sz w:val="20"/>
                <w:szCs w:val="20"/>
              </w:rPr>
              <w:t>É</w:t>
            </w:r>
            <w:r w:rsidR="00793034">
              <w:rPr>
                <w:rFonts w:ascii="Arial Narrow" w:hAnsi="Arial Narrow"/>
                <w:sz w:val="20"/>
                <w:szCs w:val="20"/>
              </w:rPr>
              <w:t>SAR BONILLA GUTIÉRREZ</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061B9849"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Pr="002F2AF3">
              <w:rPr>
                <w:rFonts w:ascii="Arial Narrow" w:hAnsi="Arial Narrow"/>
                <w:sz w:val="20"/>
                <w:szCs w:val="20"/>
              </w:rPr>
              <w:t>DIRECTOR</w:t>
            </w:r>
            <w:r w:rsidR="00793034">
              <w:rPr>
                <w:rFonts w:ascii="Arial Narrow" w:hAnsi="Arial Narrow"/>
                <w:sz w:val="20"/>
                <w:szCs w:val="20"/>
              </w:rPr>
              <w:t>A</w:t>
            </w:r>
            <w:r w:rsidRPr="002F2AF3">
              <w:rPr>
                <w:rFonts w:ascii="Arial Narrow" w:hAnsi="Arial Narrow"/>
                <w:sz w:val="20"/>
                <w:szCs w:val="20"/>
              </w:rPr>
              <w:t xml:space="preserve"> DE ADMINISTRACION Y FINANZAS*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0EE7F92E"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793034">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8F731" w14:textId="77777777" w:rsidR="00FA52EA" w:rsidRDefault="00FA52EA" w:rsidP="00193049">
      <w:pPr>
        <w:spacing w:after="0" w:line="240" w:lineRule="auto"/>
      </w:pPr>
      <w:r>
        <w:separator/>
      </w:r>
    </w:p>
  </w:endnote>
  <w:endnote w:type="continuationSeparator" w:id="0">
    <w:p w14:paraId="7DE1AB22" w14:textId="77777777" w:rsidR="00FA52EA" w:rsidRDefault="00FA52EA"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MS Gothic"/>
    <w:panose1 w:val="02020609040205080304"/>
    <w:charset w:val="80"/>
    <w:family w:val="roman"/>
    <w:notTrueType/>
    <w:pitch w:val="fixed"/>
    <w:sig w:usb0="00000000" w:usb1="08070000" w:usb2="00000010" w:usb3="00000000" w:csb0="00020000" w:csb1="00000000"/>
  </w:font>
  <w:font w:name="CG Omega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FA52EA" w:rsidRDefault="00FA52EA">
        <w:pPr>
          <w:pStyle w:val="Piedepgina"/>
          <w:pBdr>
            <w:top w:val="single" w:sz="4" w:space="1" w:color="D9D9D9" w:themeColor="background1" w:themeShade="D9"/>
          </w:pBdr>
          <w:jc w:val="right"/>
        </w:pPr>
        <w:r>
          <w:fldChar w:fldCharType="begin"/>
        </w:r>
        <w:r>
          <w:instrText>PAGE   \* MERGEFORMAT</w:instrText>
        </w:r>
        <w:r>
          <w:fldChar w:fldCharType="separate"/>
        </w:r>
        <w:r w:rsidR="003B2285" w:rsidRPr="003B2285">
          <w:rPr>
            <w:noProof/>
            <w:lang w:val="es-ES"/>
          </w:rPr>
          <w:t>17</w:t>
        </w:r>
        <w:r>
          <w:fldChar w:fldCharType="end"/>
        </w:r>
        <w:r>
          <w:rPr>
            <w:lang w:val="es-ES"/>
          </w:rPr>
          <w:t xml:space="preserve"> | </w:t>
        </w:r>
        <w:r>
          <w:rPr>
            <w:color w:val="7F7F7F" w:themeColor="background1" w:themeShade="7F"/>
            <w:spacing w:val="60"/>
            <w:lang w:val="es-ES"/>
          </w:rPr>
          <w:t>Página</w:t>
        </w:r>
      </w:p>
    </w:sdtContent>
  </w:sdt>
  <w:p w14:paraId="7BC210FB" w14:textId="77777777" w:rsidR="00FA52EA" w:rsidRDefault="00FA52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FA52EA" w:rsidRDefault="00FA52EA">
    <w:pPr>
      <w:pStyle w:val="Piedepgina"/>
    </w:pPr>
  </w:p>
  <w:p w14:paraId="7AAD7220" w14:textId="77777777" w:rsidR="00FA52EA" w:rsidRDefault="00FA52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26C92" w14:textId="77777777" w:rsidR="00FA52EA" w:rsidRDefault="00FA52EA" w:rsidP="00193049">
      <w:pPr>
        <w:spacing w:after="0" w:line="240" w:lineRule="auto"/>
      </w:pPr>
      <w:r>
        <w:separator/>
      </w:r>
    </w:p>
  </w:footnote>
  <w:footnote w:type="continuationSeparator" w:id="0">
    <w:p w14:paraId="6A9910D9" w14:textId="77777777" w:rsidR="00FA52EA" w:rsidRDefault="00FA52EA"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FA52EA" w:rsidRDefault="00FA52EA">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9"/>
  </w:num>
  <w:num w:numId="6">
    <w:abstractNumId w:val="1"/>
  </w:num>
  <w:num w:numId="7">
    <w:abstractNumId w:val="8"/>
  </w:num>
  <w:num w:numId="8">
    <w:abstractNumId w:val="12"/>
  </w:num>
  <w:num w:numId="9">
    <w:abstractNumId w:val="11"/>
  </w:num>
  <w:num w:numId="10">
    <w:abstractNumId w:val="13"/>
  </w:num>
  <w:num w:numId="11">
    <w:abstractNumId w:val="4"/>
  </w:num>
  <w:num w:numId="12">
    <w:abstractNumId w:val="3"/>
  </w:num>
  <w:num w:numId="13">
    <w:abstractNumId w:val="2"/>
  </w:num>
  <w:num w:numId="14">
    <w:abstractNumId w:val="16"/>
  </w:num>
  <w:num w:numId="15">
    <w:abstractNumId w:val="6"/>
  </w:num>
  <w:num w:numId="16">
    <w:abstractNumId w:val="15"/>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49"/>
    <w:rsid w:val="0000174D"/>
    <w:rsid w:val="00001840"/>
    <w:rsid w:val="000047E3"/>
    <w:rsid w:val="000048B7"/>
    <w:rsid w:val="00005246"/>
    <w:rsid w:val="000061AB"/>
    <w:rsid w:val="00006836"/>
    <w:rsid w:val="00006B8B"/>
    <w:rsid w:val="00006C29"/>
    <w:rsid w:val="00006C7D"/>
    <w:rsid w:val="00010478"/>
    <w:rsid w:val="000106CE"/>
    <w:rsid w:val="0001237C"/>
    <w:rsid w:val="0001284A"/>
    <w:rsid w:val="000129B6"/>
    <w:rsid w:val="00012E1D"/>
    <w:rsid w:val="000140A1"/>
    <w:rsid w:val="00015040"/>
    <w:rsid w:val="00015C1E"/>
    <w:rsid w:val="00015D1D"/>
    <w:rsid w:val="0001638E"/>
    <w:rsid w:val="0001723E"/>
    <w:rsid w:val="00017294"/>
    <w:rsid w:val="00017652"/>
    <w:rsid w:val="000204BA"/>
    <w:rsid w:val="00021060"/>
    <w:rsid w:val="00021848"/>
    <w:rsid w:val="00021CA5"/>
    <w:rsid w:val="00021E5D"/>
    <w:rsid w:val="000224B5"/>
    <w:rsid w:val="0002363C"/>
    <w:rsid w:val="00024766"/>
    <w:rsid w:val="00026647"/>
    <w:rsid w:val="0003036F"/>
    <w:rsid w:val="00031E5B"/>
    <w:rsid w:val="00032FD7"/>
    <w:rsid w:val="00034508"/>
    <w:rsid w:val="00034672"/>
    <w:rsid w:val="00036656"/>
    <w:rsid w:val="00037359"/>
    <w:rsid w:val="00037503"/>
    <w:rsid w:val="00037933"/>
    <w:rsid w:val="00040716"/>
    <w:rsid w:val="000426AF"/>
    <w:rsid w:val="000433D9"/>
    <w:rsid w:val="000433EE"/>
    <w:rsid w:val="0004374B"/>
    <w:rsid w:val="00044624"/>
    <w:rsid w:val="00045070"/>
    <w:rsid w:val="00045C72"/>
    <w:rsid w:val="00047159"/>
    <w:rsid w:val="00047375"/>
    <w:rsid w:val="00050828"/>
    <w:rsid w:val="00050FBE"/>
    <w:rsid w:val="000519B0"/>
    <w:rsid w:val="00052570"/>
    <w:rsid w:val="00052B8D"/>
    <w:rsid w:val="0005347D"/>
    <w:rsid w:val="0005484E"/>
    <w:rsid w:val="00056034"/>
    <w:rsid w:val="000617ED"/>
    <w:rsid w:val="000618B0"/>
    <w:rsid w:val="000618B5"/>
    <w:rsid w:val="00063DDE"/>
    <w:rsid w:val="00064777"/>
    <w:rsid w:val="00064C5E"/>
    <w:rsid w:val="000653E3"/>
    <w:rsid w:val="0007004C"/>
    <w:rsid w:val="00073577"/>
    <w:rsid w:val="000736D9"/>
    <w:rsid w:val="00073A8A"/>
    <w:rsid w:val="0007440C"/>
    <w:rsid w:val="00076389"/>
    <w:rsid w:val="000769AC"/>
    <w:rsid w:val="00077974"/>
    <w:rsid w:val="00077D33"/>
    <w:rsid w:val="00080253"/>
    <w:rsid w:val="00080E28"/>
    <w:rsid w:val="00082F17"/>
    <w:rsid w:val="000843E0"/>
    <w:rsid w:val="00085192"/>
    <w:rsid w:val="0008625F"/>
    <w:rsid w:val="0008766B"/>
    <w:rsid w:val="00087919"/>
    <w:rsid w:val="00092040"/>
    <w:rsid w:val="00095955"/>
    <w:rsid w:val="00095F73"/>
    <w:rsid w:val="000A0FF9"/>
    <w:rsid w:val="000A312B"/>
    <w:rsid w:val="000A5BA2"/>
    <w:rsid w:val="000A6229"/>
    <w:rsid w:val="000A7DBB"/>
    <w:rsid w:val="000B0A3D"/>
    <w:rsid w:val="000B0ED0"/>
    <w:rsid w:val="000B1303"/>
    <w:rsid w:val="000B1C81"/>
    <w:rsid w:val="000B2FD7"/>
    <w:rsid w:val="000B2FF3"/>
    <w:rsid w:val="000B3517"/>
    <w:rsid w:val="000B415D"/>
    <w:rsid w:val="000B4F63"/>
    <w:rsid w:val="000B501A"/>
    <w:rsid w:val="000B5882"/>
    <w:rsid w:val="000B6603"/>
    <w:rsid w:val="000B67B2"/>
    <w:rsid w:val="000B6BED"/>
    <w:rsid w:val="000B7242"/>
    <w:rsid w:val="000C03B4"/>
    <w:rsid w:val="000C0945"/>
    <w:rsid w:val="000C0FCF"/>
    <w:rsid w:val="000C2C4E"/>
    <w:rsid w:val="000C4F36"/>
    <w:rsid w:val="000C5150"/>
    <w:rsid w:val="000C560E"/>
    <w:rsid w:val="000C5762"/>
    <w:rsid w:val="000C57F9"/>
    <w:rsid w:val="000C5EF6"/>
    <w:rsid w:val="000C60E5"/>
    <w:rsid w:val="000D0F8C"/>
    <w:rsid w:val="000D210B"/>
    <w:rsid w:val="000D30B2"/>
    <w:rsid w:val="000D30DB"/>
    <w:rsid w:val="000D3B4B"/>
    <w:rsid w:val="000D446E"/>
    <w:rsid w:val="000D5522"/>
    <w:rsid w:val="000D6A51"/>
    <w:rsid w:val="000D7012"/>
    <w:rsid w:val="000E0930"/>
    <w:rsid w:val="000E1697"/>
    <w:rsid w:val="000E16D7"/>
    <w:rsid w:val="000E1EBA"/>
    <w:rsid w:val="000E3FF5"/>
    <w:rsid w:val="000E4C49"/>
    <w:rsid w:val="000E6DEC"/>
    <w:rsid w:val="000F047B"/>
    <w:rsid w:val="000F1187"/>
    <w:rsid w:val="000F11EE"/>
    <w:rsid w:val="000F14A0"/>
    <w:rsid w:val="000F180C"/>
    <w:rsid w:val="000F1F7C"/>
    <w:rsid w:val="000F244F"/>
    <w:rsid w:val="000F2B65"/>
    <w:rsid w:val="000F36AA"/>
    <w:rsid w:val="000F42D2"/>
    <w:rsid w:val="000F520B"/>
    <w:rsid w:val="00100CC3"/>
    <w:rsid w:val="00101E7F"/>
    <w:rsid w:val="001022A1"/>
    <w:rsid w:val="001027AB"/>
    <w:rsid w:val="00102E65"/>
    <w:rsid w:val="0010620C"/>
    <w:rsid w:val="00106444"/>
    <w:rsid w:val="001064BE"/>
    <w:rsid w:val="00107D24"/>
    <w:rsid w:val="00111852"/>
    <w:rsid w:val="00111A2D"/>
    <w:rsid w:val="00113EF2"/>
    <w:rsid w:val="00114631"/>
    <w:rsid w:val="001155F1"/>
    <w:rsid w:val="001159F9"/>
    <w:rsid w:val="00116182"/>
    <w:rsid w:val="00121AAB"/>
    <w:rsid w:val="001228C9"/>
    <w:rsid w:val="00122B23"/>
    <w:rsid w:val="001232A4"/>
    <w:rsid w:val="001233CF"/>
    <w:rsid w:val="001237A6"/>
    <w:rsid w:val="00124277"/>
    <w:rsid w:val="00124773"/>
    <w:rsid w:val="001251CB"/>
    <w:rsid w:val="00125823"/>
    <w:rsid w:val="0012595D"/>
    <w:rsid w:val="0012680A"/>
    <w:rsid w:val="00130664"/>
    <w:rsid w:val="00133D97"/>
    <w:rsid w:val="00134E4B"/>
    <w:rsid w:val="001355DF"/>
    <w:rsid w:val="00135D60"/>
    <w:rsid w:val="00137352"/>
    <w:rsid w:val="001379EC"/>
    <w:rsid w:val="00140AB8"/>
    <w:rsid w:val="001415F3"/>
    <w:rsid w:val="00142012"/>
    <w:rsid w:val="0014358E"/>
    <w:rsid w:val="00143902"/>
    <w:rsid w:val="00143B8C"/>
    <w:rsid w:val="001444D3"/>
    <w:rsid w:val="00144575"/>
    <w:rsid w:val="00145655"/>
    <w:rsid w:val="00146A6F"/>
    <w:rsid w:val="00146C64"/>
    <w:rsid w:val="001509B9"/>
    <w:rsid w:val="00150BBB"/>
    <w:rsid w:val="00150DAF"/>
    <w:rsid w:val="00152292"/>
    <w:rsid w:val="001548B5"/>
    <w:rsid w:val="00155088"/>
    <w:rsid w:val="00155AA5"/>
    <w:rsid w:val="00157361"/>
    <w:rsid w:val="001577E0"/>
    <w:rsid w:val="001600DC"/>
    <w:rsid w:val="001602B4"/>
    <w:rsid w:val="00160D6A"/>
    <w:rsid w:val="001617AD"/>
    <w:rsid w:val="00162768"/>
    <w:rsid w:val="00162B9B"/>
    <w:rsid w:val="001632BD"/>
    <w:rsid w:val="00163839"/>
    <w:rsid w:val="00164347"/>
    <w:rsid w:val="0016526D"/>
    <w:rsid w:val="00166C42"/>
    <w:rsid w:val="001677FC"/>
    <w:rsid w:val="00167C52"/>
    <w:rsid w:val="00170418"/>
    <w:rsid w:val="00170D39"/>
    <w:rsid w:val="00171FB9"/>
    <w:rsid w:val="00172333"/>
    <w:rsid w:val="001745B3"/>
    <w:rsid w:val="001754F1"/>
    <w:rsid w:val="001763D2"/>
    <w:rsid w:val="0018131C"/>
    <w:rsid w:val="00185461"/>
    <w:rsid w:val="001854F1"/>
    <w:rsid w:val="0018652F"/>
    <w:rsid w:val="00190842"/>
    <w:rsid w:val="001908B7"/>
    <w:rsid w:val="001908CD"/>
    <w:rsid w:val="00190D6C"/>
    <w:rsid w:val="001919C8"/>
    <w:rsid w:val="00191ECF"/>
    <w:rsid w:val="00192AC9"/>
    <w:rsid w:val="00193049"/>
    <w:rsid w:val="00193628"/>
    <w:rsid w:val="001958EE"/>
    <w:rsid w:val="00196151"/>
    <w:rsid w:val="0019712D"/>
    <w:rsid w:val="001A04EC"/>
    <w:rsid w:val="001A07C2"/>
    <w:rsid w:val="001A1C96"/>
    <w:rsid w:val="001A2588"/>
    <w:rsid w:val="001A321B"/>
    <w:rsid w:val="001A3EEA"/>
    <w:rsid w:val="001A4BC5"/>
    <w:rsid w:val="001A64F7"/>
    <w:rsid w:val="001A65A6"/>
    <w:rsid w:val="001A7200"/>
    <w:rsid w:val="001A7549"/>
    <w:rsid w:val="001A774E"/>
    <w:rsid w:val="001B055C"/>
    <w:rsid w:val="001B216B"/>
    <w:rsid w:val="001B2FBE"/>
    <w:rsid w:val="001B4882"/>
    <w:rsid w:val="001B538D"/>
    <w:rsid w:val="001B560C"/>
    <w:rsid w:val="001B5A79"/>
    <w:rsid w:val="001B5B4B"/>
    <w:rsid w:val="001B5F95"/>
    <w:rsid w:val="001B667C"/>
    <w:rsid w:val="001B7C57"/>
    <w:rsid w:val="001B7CFC"/>
    <w:rsid w:val="001B7D58"/>
    <w:rsid w:val="001C10AE"/>
    <w:rsid w:val="001C10DF"/>
    <w:rsid w:val="001C167F"/>
    <w:rsid w:val="001C3604"/>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B6D"/>
    <w:rsid w:val="001E5FE8"/>
    <w:rsid w:val="001E62DA"/>
    <w:rsid w:val="001E638A"/>
    <w:rsid w:val="001E6C0C"/>
    <w:rsid w:val="001E73BA"/>
    <w:rsid w:val="001F37D3"/>
    <w:rsid w:val="001F5F0F"/>
    <w:rsid w:val="00202219"/>
    <w:rsid w:val="002028EC"/>
    <w:rsid w:val="00202F09"/>
    <w:rsid w:val="00203630"/>
    <w:rsid w:val="00203B0D"/>
    <w:rsid w:val="00203EB4"/>
    <w:rsid w:val="0020446C"/>
    <w:rsid w:val="00204985"/>
    <w:rsid w:val="00204BEA"/>
    <w:rsid w:val="00204EB3"/>
    <w:rsid w:val="00205DAD"/>
    <w:rsid w:val="00206740"/>
    <w:rsid w:val="002073EC"/>
    <w:rsid w:val="0021023C"/>
    <w:rsid w:val="00210343"/>
    <w:rsid w:val="0021058D"/>
    <w:rsid w:val="00210B47"/>
    <w:rsid w:val="002119F7"/>
    <w:rsid w:val="00213FE5"/>
    <w:rsid w:val="0021518D"/>
    <w:rsid w:val="002157C0"/>
    <w:rsid w:val="002169D6"/>
    <w:rsid w:val="00216A41"/>
    <w:rsid w:val="002172C0"/>
    <w:rsid w:val="002207BC"/>
    <w:rsid w:val="002210A0"/>
    <w:rsid w:val="0022128C"/>
    <w:rsid w:val="00222636"/>
    <w:rsid w:val="0022359D"/>
    <w:rsid w:val="00223BA1"/>
    <w:rsid w:val="00223CE3"/>
    <w:rsid w:val="00225317"/>
    <w:rsid w:val="0022651E"/>
    <w:rsid w:val="002273F2"/>
    <w:rsid w:val="00227BE3"/>
    <w:rsid w:val="00231427"/>
    <w:rsid w:val="002316FA"/>
    <w:rsid w:val="00232515"/>
    <w:rsid w:val="00235456"/>
    <w:rsid w:val="002358E3"/>
    <w:rsid w:val="00236E13"/>
    <w:rsid w:val="0023741D"/>
    <w:rsid w:val="002378FB"/>
    <w:rsid w:val="00240365"/>
    <w:rsid w:val="0024143F"/>
    <w:rsid w:val="00241855"/>
    <w:rsid w:val="002435DD"/>
    <w:rsid w:val="00243783"/>
    <w:rsid w:val="00243C4D"/>
    <w:rsid w:val="0024462B"/>
    <w:rsid w:val="00244A1D"/>
    <w:rsid w:val="00245854"/>
    <w:rsid w:val="00247DAA"/>
    <w:rsid w:val="00250075"/>
    <w:rsid w:val="002508C8"/>
    <w:rsid w:val="00251ACA"/>
    <w:rsid w:val="00252368"/>
    <w:rsid w:val="002540B1"/>
    <w:rsid w:val="0025490C"/>
    <w:rsid w:val="00254975"/>
    <w:rsid w:val="002553B4"/>
    <w:rsid w:val="00255B4A"/>
    <w:rsid w:val="00256A7D"/>
    <w:rsid w:val="00257F50"/>
    <w:rsid w:val="00261659"/>
    <w:rsid w:val="00262DEB"/>
    <w:rsid w:val="00266E3C"/>
    <w:rsid w:val="00270405"/>
    <w:rsid w:val="00270612"/>
    <w:rsid w:val="002707C3"/>
    <w:rsid w:val="00274416"/>
    <w:rsid w:val="002776AE"/>
    <w:rsid w:val="00280191"/>
    <w:rsid w:val="00280904"/>
    <w:rsid w:val="00280B5E"/>
    <w:rsid w:val="002810AF"/>
    <w:rsid w:val="002816EE"/>
    <w:rsid w:val="00283DBC"/>
    <w:rsid w:val="00283F15"/>
    <w:rsid w:val="002865A2"/>
    <w:rsid w:val="00287369"/>
    <w:rsid w:val="002876CD"/>
    <w:rsid w:val="00287CE5"/>
    <w:rsid w:val="00292222"/>
    <w:rsid w:val="002925A5"/>
    <w:rsid w:val="00295A5D"/>
    <w:rsid w:val="00296074"/>
    <w:rsid w:val="002970A6"/>
    <w:rsid w:val="0029778E"/>
    <w:rsid w:val="002A00D5"/>
    <w:rsid w:val="002A03AC"/>
    <w:rsid w:val="002A03B2"/>
    <w:rsid w:val="002A12FC"/>
    <w:rsid w:val="002A24AC"/>
    <w:rsid w:val="002A283C"/>
    <w:rsid w:val="002A33D5"/>
    <w:rsid w:val="002A50D8"/>
    <w:rsid w:val="002A5168"/>
    <w:rsid w:val="002B0748"/>
    <w:rsid w:val="002B0805"/>
    <w:rsid w:val="002B0F43"/>
    <w:rsid w:val="002B14D0"/>
    <w:rsid w:val="002B21EB"/>
    <w:rsid w:val="002B3EEF"/>
    <w:rsid w:val="002B483E"/>
    <w:rsid w:val="002B5BAB"/>
    <w:rsid w:val="002B6286"/>
    <w:rsid w:val="002B6344"/>
    <w:rsid w:val="002B6923"/>
    <w:rsid w:val="002B74BE"/>
    <w:rsid w:val="002C019E"/>
    <w:rsid w:val="002C1587"/>
    <w:rsid w:val="002C1AEA"/>
    <w:rsid w:val="002C23D1"/>
    <w:rsid w:val="002C3BB4"/>
    <w:rsid w:val="002C7ED2"/>
    <w:rsid w:val="002D066C"/>
    <w:rsid w:val="002D0E37"/>
    <w:rsid w:val="002D2E4D"/>
    <w:rsid w:val="002D36AE"/>
    <w:rsid w:val="002D3CB1"/>
    <w:rsid w:val="002D50E2"/>
    <w:rsid w:val="002D581E"/>
    <w:rsid w:val="002D5EC9"/>
    <w:rsid w:val="002D70F0"/>
    <w:rsid w:val="002E0CFA"/>
    <w:rsid w:val="002E2A18"/>
    <w:rsid w:val="002E3389"/>
    <w:rsid w:val="002E3DAF"/>
    <w:rsid w:val="002E4B9D"/>
    <w:rsid w:val="002E603E"/>
    <w:rsid w:val="002E7B08"/>
    <w:rsid w:val="002F0537"/>
    <w:rsid w:val="002F063B"/>
    <w:rsid w:val="002F23FB"/>
    <w:rsid w:val="002F2AF3"/>
    <w:rsid w:val="002F2BB6"/>
    <w:rsid w:val="002F427D"/>
    <w:rsid w:val="002F4B9E"/>
    <w:rsid w:val="002F6AD6"/>
    <w:rsid w:val="00300008"/>
    <w:rsid w:val="00301BDA"/>
    <w:rsid w:val="00301E89"/>
    <w:rsid w:val="00302C9F"/>
    <w:rsid w:val="00302EB1"/>
    <w:rsid w:val="00303A9E"/>
    <w:rsid w:val="00303EB1"/>
    <w:rsid w:val="00305056"/>
    <w:rsid w:val="00305EE2"/>
    <w:rsid w:val="003065B2"/>
    <w:rsid w:val="00310777"/>
    <w:rsid w:val="00310A01"/>
    <w:rsid w:val="00310BAB"/>
    <w:rsid w:val="0031108C"/>
    <w:rsid w:val="00311337"/>
    <w:rsid w:val="0031356C"/>
    <w:rsid w:val="00314B7D"/>
    <w:rsid w:val="00314E5D"/>
    <w:rsid w:val="0031529A"/>
    <w:rsid w:val="00315B50"/>
    <w:rsid w:val="003165E3"/>
    <w:rsid w:val="003169DE"/>
    <w:rsid w:val="00320B9B"/>
    <w:rsid w:val="00320E89"/>
    <w:rsid w:val="00321061"/>
    <w:rsid w:val="00321665"/>
    <w:rsid w:val="003226FB"/>
    <w:rsid w:val="00322CBD"/>
    <w:rsid w:val="00323F9E"/>
    <w:rsid w:val="00325505"/>
    <w:rsid w:val="00326021"/>
    <w:rsid w:val="00326DAB"/>
    <w:rsid w:val="0032721B"/>
    <w:rsid w:val="00331659"/>
    <w:rsid w:val="00331A42"/>
    <w:rsid w:val="0033405B"/>
    <w:rsid w:val="00334867"/>
    <w:rsid w:val="00334FE0"/>
    <w:rsid w:val="00335705"/>
    <w:rsid w:val="003359D1"/>
    <w:rsid w:val="003369BF"/>
    <w:rsid w:val="00336C34"/>
    <w:rsid w:val="00336EDC"/>
    <w:rsid w:val="00341509"/>
    <w:rsid w:val="003423A3"/>
    <w:rsid w:val="00342929"/>
    <w:rsid w:val="00343239"/>
    <w:rsid w:val="003462FC"/>
    <w:rsid w:val="00346485"/>
    <w:rsid w:val="00347D0B"/>
    <w:rsid w:val="00347F65"/>
    <w:rsid w:val="0035058A"/>
    <w:rsid w:val="00350ED7"/>
    <w:rsid w:val="00350F32"/>
    <w:rsid w:val="00351A89"/>
    <w:rsid w:val="0035318B"/>
    <w:rsid w:val="003531E2"/>
    <w:rsid w:val="003545F2"/>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59EC"/>
    <w:rsid w:val="0036640A"/>
    <w:rsid w:val="0036667E"/>
    <w:rsid w:val="0036678D"/>
    <w:rsid w:val="00366B1C"/>
    <w:rsid w:val="003702CC"/>
    <w:rsid w:val="003703C8"/>
    <w:rsid w:val="00373838"/>
    <w:rsid w:val="00374682"/>
    <w:rsid w:val="0037638D"/>
    <w:rsid w:val="003775D9"/>
    <w:rsid w:val="00380589"/>
    <w:rsid w:val="003825BA"/>
    <w:rsid w:val="00382A21"/>
    <w:rsid w:val="003832AD"/>
    <w:rsid w:val="00384189"/>
    <w:rsid w:val="0038519A"/>
    <w:rsid w:val="0038613F"/>
    <w:rsid w:val="00387179"/>
    <w:rsid w:val="00387909"/>
    <w:rsid w:val="00387D37"/>
    <w:rsid w:val="00390E75"/>
    <w:rsid w:val="0039134B"/>
    <w:rsid w:val="0039154A"/>
    <w:rsid w:val="00393080"/>
    <w:rsid w:val="00394144"/>
    <w:rsid w:val="00394B6B"/>
    <w:rsid w:val="00396A6A"/>
    <w:rsid w:val="00397703"/>
    <w:rsid w:val="003A28B7"/>
    <w:rsid w:val="003A3374"/>
    <w:rsid w:val="003A38B7"/>
    <w:rsid w:val="003A38CA"/>
    <w:rsid w:val="003A3B2F"/>
    <w:rsid w:val="003A6EDD"/>
    <w:rsid w:val="003A7064"/>
    <w:rsid w:val="003A7CC6"/>
    <w:rsid w:val="003A7DAC"/>
    <w:rsid w:val="003B1620"/>
    <w:rsid w:val="003B1773"/>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F"/>
    <w:rsid w:val="003C11C3"/>
    <w:rsid w:val="003C1C59"/>
    <w:rsid w:val="003C2EF1"/>
    <w:rsid w:val="003C3129"/>
    <w:rsid w:val="003C347C"/>
    <w:rsid w:val="003C3B6C"/>
    <w:rsid w:val="003C4898"/>
    <w:rsid w:val="003C5A28"/>
    <w:rsid w:val="003C661E"/>
    <w:rsid w:val="003D04D9"/>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6312"/>
    <w:rsid w:val="003E776F"/>
    <w:rsid w:val="003E7E3D"/>
    <w:rsid w:val="003F043D"/>
    <w:rsid w:val="003F0580"/>
    <w:rsid w:val="003F07B5"/>
    <w:rsid w:val="003F12FC"/>
    <w:rsid w:val="003F1D47"/>
    <w:rsid w:val="003F2099"/>
    <w:rsid w:val="003F24CD"/>
    <w:rsid w:val="003F3BC4"/>
    <w:rsid w:val="003F4933"/>
    <w:rsid w:val="003F561F"/>
    <w:rsid w:val="003F6904"/>
    <w:rsid w:val="00400356"/>
    <w:rsid w:val="00401FE1"/>
    <w:rsid w:val="00402A53"/>
    <w:rsid w:val="00403B7A"/>
    <w:rsid w:val="00403F91"/>
    <w:rsid w:val="00404140"/>
    <w:rsid w:val="004054FA"/>
    <w:rsid w:val="00406536"/>
    <w:rsid w:val="004074B2"/>
    <w:rsid w:val="00410D69"/>
    <w:rsid w:val="00411532"/>
    <w:rsid w:val="00413028"/>
    <w:rsid w:val="00413720"/>
    <w:rsid w:val="00413AB7"/>
    <w:rsid w:val="004147E6"/>
    <w:rsid w:val="00415442"/>
    <w:rsid w:val="0041608C"/>
    <w:rsid w:val="004161B4"/>
    <w:rsid w:val="00416996"/>
    <w:rsid w:val="0041769E"/>
    <w:rsid w:val="00421273"/>
    <w:rsid w:val="00422CF7"/>
    <w:rsid w:val="00422DE3"/>
    <w:rsid w:val="00423BFF"/>
    <w:rsid w:val="00426D21"/>
    <w:rsid w:val="004307A0"/>
    <w:rsid w:val="00430976"/>
    <w:rsid w:val="00430A1A"/>
    <w:rsid w:val="00430EF6"/>
    <w:rsid w:val="004317DD"/>
    <w:rsid w:val="00431EE2"/>
    <w:rsid w:val="00431F3E"/>
    <w:rsid w:val="004322E2"/>
    <w:rsid w:val="00432A50"/>
    <w:rsid w:val="0043321B"/>
    <w:rsid w:val="0043357E"/>
    <w:rsid w:val="00433853"/>
    <w:rsid w:val="004358FE"/>
    <w:rsid w:val="00435C83"/>
    <w:rsid w:val="00435DB0"/>
    <w:rsid w:val="004369CE"/>
    <w:rsid w:val="00437F96"/>
    <w:rsid w:val="00440A85"/>
    <w:rsid w:val="00442349"/>
    <w:rsid w:val="00442B6D"/>
    <w:rsid w:val="00443BCB"/>
    <w:rsid w:val="004443B1"/>
    <w:rsid w:val="00446D35"/>
    <w:rsid w:val="00446E01"/>
    <w:rsid w:val="004473DF"/>
    <w:rsid w:val="00447416"/>
    <w:rsid w:val="00447D1D"/>
    <w:rsid w:val="00450507"/>
    <w:rsid w:val="00452A71"/>
    <w:rsid w:val="00453179"/>
    <w:rsid w:val="0045654A"/>
    <w:rsid w:val="00456621"/>
    <w:rsid w:val="0046036E"/>
    <w:rsid w:val="004607ED"/>
    <w:rsid w:val="0046127F"/>
    <w:rsid w:val="00462F5A"/>
    <w:rsid w:val="00463143"/>
    <w:rsid w:val="004631C5"/>
    <w:rsid w:val="004653EA"/>
    <w:rsid w:val="00466985"/>
    <w:rsid w:val="00470266"/>
    <w:rsid w:val="004721AB"/>
    <w:rsid w:val="00472822"/>
    <w:rsid w:val="00473A23"/>
    <w:rsid w:val="004746EB"/>
    <w:rsid w:val="00474E1C"/>
    <w:rsid w:val="004769C7"/>
    <w:rsid w:val="00476C85"/>
    <w:rsid w:val="00480472"/>
    <w:rsid w:val="00482569"/>
    <w:rsid w:val="00482B0C"/>
    <w:rsid w:val="00484F31"/>
    <w:rsid w:val="004858F4"/>
    <w:rsid w:val="00485A05"/>
    <w:rsid w:val="00486FE0"/>
    <w:rsid w:val="00487676"/>
    <w:rsid w:val="004922B8"/>
    <w:rsid w:val="00492C2A"/>
    <w:rsid w:val="00494C28"/>
    <w:rsid w:val="004A1F94"/>
    <w:rsid w:val="004A3782"/>
    <w:rsid w:val="004A536E"/>
    <w:rsid w:val="004A5822"/>
    <w:rsid w:val="004A5BB3"/>
    <w:rsid w:val="004A71B6"/>
    <w:rsid w:val="004A79C3"/>
    <w:rsid w:val="004A7C86"/>
    <w:rsid w:val="004A7CFE"/>
    <w:rsid w:val="004B17F8"/>
    <w:rsid w:val="004B2045"/>
    <w:rsid w:val="004B2449"/>
    <w:rsid w:val="004B24F7"/>
    <w:rsid w:val="004B2A08"/>
    <w:rsid w:val="004B414B"/>
    <w:rsid w:val="004B486C"/>
    <w:rsid w:val="004B4E50"/>
    <w:rsid w:val="004B5141"/>
    <w:rsid w:val="004B5227"/>
    <w:rsid w:val="004B5E34"/>
    <w:rsid w:val="004B6D59"/>
    <w:rsid w:val="004B7745"/>
    <w:rsid w:val="004B7A16"/>
    <w:rsid w:val="004C072F"/>
    <w:rsid w:val="004C0F52"/>
    <w:rsid w:val="004C2870"/>
    <w:rsid w:val="004C2CFA"/>
    <w:rsid w:val="004C38E7"/>
    <w:rsid w:val="004C4B70"/>
    <w:rsid w:val="004C4C01"/>
    <w:rsid w:val="004C4ED4"/>
    <w:rsid w:val="004C511A"/>
    <w:rsid w:val="004C7B19"/>
    <w:rsid w:val="004D04BE"/>
    <w:rsid w:val="004D1B9D"/>
    <w:rsid w:val="004D2C18"/>
    <w:rsid w:val="004D463A"/>
    <w:rsid w:val="004D4F4B"/>
    <w:rsid w:val="004D5761"/>
    <w:rsid w:val="004E05C2"/>
    <w:rsid w:val="004E1DF2"/>
    <w:rsid w:val="004E1EDD"/>
    <w:rsid w:val="004E2AEE"/>
    <w:rsid w:val="004E2D06"/>
    <w:rsid w:val="004E31C5"/>
    <w:rsid w:val="004E34AA"/>
    <w:rsid w:val="004E3FA7"/>
    <w:rsid w:val="004E5064"/>
    <w:rsid w:val="004E50B9"/>
    <w:rsid w:val="004E5F28"/>
    <w:rsid w:val="004E63E0"/>
    <w:rsid w:val="004E736E"/>
    <w:rsid w:val="004F0C34"/>
    <w:rsid w:val="004F11AC"/>
    <w:rsid w:val="004F1C2D"/>
    <w:rsid w:val="004F28FE"/>
    <w:rsid w:val="004F2DA5"/>
    <w:rsid w:val="004F460F"/>
    <w:rsid w:val="00500541"/>
    <w:rsid w:val="00502A0D"/>
    <w:rsid w:val="00503885"/>
    <w:rsid w:val="00503996"/>
    <w:rsid w:val="00503C3A"/>
    <w:rsid w:val="005043F3"/>
    <w:rsid w:val="00505097"/>
    <w:rsid w:val="00507334"/>
    <w:rsid w:val="0050738D"/>
    <w:rsid w:val="005100BC"/>
    <w:rsid w:val="00510380"/>
    <w:rsid w:val="0051052E"/>
    <w:rsid w:val="00511444"/>
    <w:rsid w:val="00512DE4"/>
    <w:rsid w:val="00513BFA"/>
    <w:rsid w:val="00516A68"/>
    <w:rsid w:val="00517059"/>
    <w:rsid w:val="005172D3"/>
    <w:rsid w:val="00517693"/>
    <w:rsid w:val="00520977"/>
    <w:rsid w:val="00521782"/>
    <w:rsid w:val="00522539"/>
    <w:rsid w:val="00522FAC"/>
    <w:rsid w:val="005257B6"/>
    <w:rsid w:val="00525C69"/>
    <w:rsid w:val="00525CF3"/>
    <w:rsid w:val="00526E65"/>
    <w:rsid w:val="005271A0"/>
    <w:rsid w:val="00527A54"/>
    <w:rsid w:val="00530092"/>
    <w:rsid w:val="005317FE"/>
    <w:rsid w:val="00531E92"/>
    <w:rsid w:val="00532D20"/>
    <w:rsid w:val="005346E9"/>
    <w:rsid w:val="00536B1A"/>
    <w:rsid w:val="00537686"/>
    <w:rsid w:val="0054153F"/>
    <w:rsid w:val="00541F48"/>
    <w:rsid w:val="00541F49"/>
    <w:rsid w:val="0054284A"/>
    <w:rsid w:val="00542928"/>
    <w:rsid w:val="00543EAC"/>
    <w:rsid w:val="00544D65"/>
    <w:rsid w:val="00545094"/>
    <w:rsid w:val="0054640A"/>
    <w:rsid w:val="00546F5F"/>
    <w:rsid w:val="0055034A"/>
    <w:rsid w:val="00550AFA"/>
    <w:rsid w:val="0055177F"/>
    <w:rsid w:val="00553BFA"/>
    <w:rsid w:val="00554215"/>
    <w:rsid w:val="005556D2"/>
    <w:rsid w:val="005572AF"/>
    <w:rsid w:val="0056020A"/>
    <w:rsid w:val="00560501"/>
    <w:rsid w:val="005609FC"/>
    <w:rsid w:val="00560DF0"/>
    <w:rsid w:val="00561495"/>
    <w:rsid w:val="0056196F"/>
    <w:rsid w:val="00561C58"/>
    <w:rsid w:val="00563239"/>
    <w:rsid w:val="00563E16"/>
    <w:rsid w:val="0056456F"/>
    <w:rsid w:val="00564D41"/>
    <w:rsid w:val="00565441"/>
    <w:rsid w:val="00565C9D"/>
    <w:rsid w:val="00566343"/>
    <w:rsid w:val="005670E6"/>
    <w:rsid w:val="00567425"/>
    <w:rsid w:val="00570832"/>
    <w:rsid w:val="00572EE9"/>
    <w:rsid w:val="00573776"/>
    <w:rsid w:val="0057378C"/>
    <w:rsid w:val="0057442F"/>
    <w:rsid w:val="00574A14"/>
    <w:rsid w:val="00574DD3"/>
    <w:rsid w:val="00575F3C"/>
    <w:rsid w:val="0057623F"/>
    <w:rsid w:val="00576995"/>
    <w:rsid w:val="00576C0D"/>
    <w:rsid w:val="00576DB2"/>
    <w:rsid w:val="00576DBD"/>
    <w:rsid w:val="00580476"/>
    <w:rsid w:val="005804D5"/>
    <w:rsid w:val="00580825"/>
    <w:rsid w:val="0058355D"/>
    <w:rsid w:val="00584CBF"/>
    <w:rsid w:val="00584F90"/>
    <w:rsid w:val="00585297"/>
    <w:rsid w:val="00587206"/>
    <w:rsid w:val="00587FEC"/>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4065"/>
    <w:rsid w:val="005A472B"/>
    <w:rsid w:val="005A56BC"/>
    <w:rsid w:val="005A6396"/>
    <w:rsid w:val="005B04C5"/>
    <w:rsid w:val="005B11E3"/>
    <w:rsid w:val="005B19CD"/>
    <w:rsid w:val="005B3E25"/>
    <w:rsid w:val="005B42AC"/>
    <w:rsid w:val="005B5FA9"/>
    <w:rsid w:val="005B605B"/>
    <w:rsid w:val="005B60A0"/>
    <w:rsid w:val="005B65A4"/>
    <w:rsid w:val="005B6B1F"/>
    <w:rsid w:val="005B729A"/>
    <w:rsid w:val="005B7834"/>
    <w:rsid w:val="005B7886"/>
    <w:rsid w:val="005C096F"/>
    <w:rsid w:val="005C29FF"/>
    <w:rsid w:val="005C31F8"/>
    <w:rsid w:val="005C3B6B"/>
    <w:rsid w:val="005C3D57"/>
    <w:rsid w:val="005C51C3"/>
    <w:rsid w:val="005D01D3"/>
    <w:rsid w:val="005D0333"/>
    <w:rsid w:val="005D1BE5"/>
    <w:rsid w:val="005D1CF1"/>
    <w:rsid w:val="005D230D"/>
    <w:rsid w:val="005D250D"/>
    <w:rsid w:val="005D2522"/>
    <w:rsid w:val="005D25FC"/>
    <w:rsid w:val="005D2971"/>
    <w:rsid w:val="005D29A2"/>
    <w:rsid w:val="005D2CF1"/>
    <w:rsid w:val="005D319F"/>
    <w:rsid w:val="005D3CA1"/>
    <w:rsid w:val="005D4F6F"/>
    <w:rsid w:val="005D655D"/>
    <w:rsid w:val="005D7C3E"/>
    <w:rsid w:val="005E0943"/>
    <w:rsid w:val="005E1159"/>
    <w:rsid w:val="005E1E9E"/>
    <w:rsid w:val="005E326D"/>
    <w:rsid w:val="005E334E"/>
    <w:rsid w:val="005E36A0"/>
    <w:rsid w:val="005E36C1"/>
    <w:rsid w:val="005E3BA0"/>
    <w:rsid w:val="005E3E66"/>
    <w:rsid w:val="005E533C"/>
    <w:rsid w:val="005E5586"/>
    <w:rsid w:val="005E5837"/>
    <w:rsid w:val="005E5FE4"/>
    <w:rsid w:val="005E74A5"/>
    <w:rsid w:val="005E7EA1"/>
    <w:rsid w:val="005F068F"/>
    <w:rsid w:val="005F0C31"/>
    <w:rsid w:val="005F0CC9"/>
    <w:rsid w:val="005F1205"/>
    <w:rsid w:val="005F1309"/>
    <w:rsid w:val="005F146E"/>
    <w:rsid w:val="005F1952"/>
    <w:rsid w:val="005F218D"/>
    <w:rsid w:val="005F3314"/>
    <w:rsid w:val="005F4054"/>
    <w:rsid w:val="005F4DB3"/>
    <w:rsid w:val="005F4E42"/>
    <w:rsid w:val="005F4EF6"/>
    <w:rsid w:val="005F5D25"/>
    <w:rsid w:val="005F608E"/>
    <w:rsid w:val="005F64B5"/>
    <w:rsid w:val="005F7B42"/>
    <w:rsid w:val="005F7DE7"/>
    <w:rsid w:val="006011F2"/>
    <w:rsid w:val="00602808"/>
    <w:rsid w:val="00610239"/>
    <w:rsid w:val="00611341"/>
    <w:rsid w:val="00612F30"/>
    <w:rsid w:val="00613449"/>
    <w:rsid w:val="00613627"/>
    <w:rsid w:val="006137A0"/>
    <w:rsid w:val="00613981"/>
    <w:rsid w:val="00613FB5"/>
    <w:rsid w:val="00614185"/>
    <w:rsid w:val="00616DE1"/>
    <w:rsid w:val="006177A5"/>
    <w:rsid w:val="00621268"/>
    <w:rsid w:val="00621A0E"/>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50C2"/>
    <w:rsid w:val="006362FB"/>
    <w:rsid w:val="006365FC"/>
    <w:rsid w:val="006369C3"/>
    <w:rsid w:val="00641420"/>
    <w:rsid w:val="006433E8"/>
    <w:rsid w:val="006441C8"/>
    <w:rsid w:val="00644D48"/>
    <w:rsid w:val="00645B94"/>
    <w:rsid w:val="00647BFD"/>
    <w:rsid w:val="00650CED"/>
    <w:rsid w:val="00651C6E"/>
    <w:rsid w:val="006522D9"/>
    <w:rsid w:val="006527F0"/>
    <w:rsid w:val="00652A91"/>
    <w:rsid w:val="006539AF"/>
    <w:rsid w:val="00653B98"/>
    <w:rsid w:val="00656E81"/>
    <w:rsid w:val="006576ED"/>
    <w:rsid w:val="00660185"/>
    <w:rsid w:val="00660386"/>
    <w:rsid w:val="00660502"/>
    <w:rsid w:val="00660B8A"/>
    <w:rsid w:val="00661175"/>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410D"/>
    <w:rsid w:val="00677330"/>
    <w:rsid w:val="006775DC"/>
    <w:rsid w:val="00677B5F"/>
    <w:rsid w:val="00680A69"/>
    <w:rsid w:val="00680E31"/>
    <w:rsid w:val="00681557"/>
    <w:rsid w:val="00682A9A"/>
    <w:rsid w:val="006848F0"/>
    <w:rsid w:val="006879D0"/>
    <w:rsid w:val="00690320"/>
    <w:rsid w:val="006909D0"/>
    <w:rsid w:val="006917B8"/>
    <w:rsid w:val="006918D6"/>
    <w:rsid w:val="0069236E"/>
    <w:rsid w:val="006923FC"/>
    <w:rsid w:val="006926B0"/>
    <w:rsid w:val="00694CF8"/>
    <w:rsid w:val="00695C96"/>
    <w:rsid w:val="006962A9"/>
    <w:rsid w:val="006969A4"/>
    <w:rsid w:val="00697A2E"/>
    <w:rsid w:val="00697FA5"/>
    <w:rsid w:val="006A0C22"/>
    <w:rsid w:val="006A0C6A"/>
    <w:rsid w:val="006A0FBB"/>
    <w:rsid w:val="006A195E"/>
    <w:rsid w:val="006A2211"/>
    <w:rsid w:val="006A545E"/>
    <w:rsid w:val="006A7CC5"/>
    <w:rsid w:val="006B0074"/>
    <w:rsid w:val="006B015A"/>
    <w:rsid w:val="006B0B68"/>
    <w:rsid w:val="006B1239"/>
    <w:rsid w:val="006B16BE"/>
    <w:rsid w:val="006B3E90"/>
    <w:rsid w:val="006B410B"/>
    <w:rsid w:val="006B48E3"/>
    <w:rsid w:val="006C10AA"/>
    <w:rsid w:val="006C6939"/>
    <w:rsid w:val="006C7067"/>
    <w:rsid w:val="006D13B1"/>
    <w:rsid w:val="006D2756"/>
    <w:rsid w:val="006D30B1"/>
    <w:rsid w:val="006D32A4"/>
    <w:rsid w:val="006D410D"/>
    <w:rsid w:val="006D69F1"/>
    <w:rsid w:val="006D6FDB"/>
    <w:rsid w:val="006E027D"/>
    <w:rsid w:val="006E02D9"/>
    <w:rsid w:val="006E0363"/>
    <w:rsid w:val="006E179C"/>
    <w:rsid w:val="006E24AE"/>
    <w:rsid w:val="006E32F9"/>
    <w:rsid w:val="006E486A"/>
    <w:rsid w:val="006E6335"/>
    <w:rsid w:val="006E79A0"/>
    <w:rsid w:val="006F0C02"/>
    <w:rsid w:val="006F242F"/>
    <w:rsid w:val="006F29AE"/>
    <w:rsid w:val="006F2D1E"/>
    <w:rsid w:val="006F3406"/>
    <w:rsid w:val="006F393C"/>
    <w:rsid w:val="006F420B"/>
    <w:rsid w:val="006F4346"/>
    <w:rsid w:val="006F4F72"/>
    <w:rsid w:val="006F4FCD"/>
    <w:rsid w:val="006F6ADD"/>
    <w:rsid w:val="006F772F"/>
    <w:rsid w:val="0070192E"/>
    <w:rsid w:val="0070283F"/>
    <w:rsid w:val="00702E37"/>
    <w:rsid w:val="00702F50"/>
    <w:rsid w:val="0070342E"/>
    <w:rsid w:val="00704258"/>
    <w:rsid w:val="007044F2"/>
    <w:rsid w:val="00704601"/>
    <w:rsid w:val="00705E5E"/>
    <w:rsid w:val="00705EC3"/>
    <w:rsid w:val="0071002D"/>
    <w:rsid w:val="00711FAB"/>
    <w:rsid w:val="00712530"/>
    <w:rsid w:val="0071262C"/>
    <w:rsid w:val="00713107"/>
    <w:rsid w:val="007136A8"/>
    <w:rsid w:val="007146B5"/>
    <w:rsid w:val="00714943"/>
    <w:rsid w:val="00714A40"/>
    <w:rsid w:val="00714FA6"/>
    <w:rsid w:val="00715445"/>
    <w:rsid w:val="00717318"/>
    <w:rsid w:val="00717908"/>
    <w:rsid w:val="007200E2"/>
    <w:rsid w:val="00721133"/>
    <w:rsid w:val="0072398C"/>
    <w:rsid w:val="00724937"/>
    <w:rsid w:val="00725F65"/>
    <w:rsid w:val="007269A8"/>
    <w:rsid w:val="00726C0D"/>
    <w:rsid w:val="00726DD5"/>
    <w:rsid w:val="00727D52"/>
    <w:rsid w:val="007318F3"/>
    <w:rsid w:val="00732BC6"/>
    <w:rsid w:val="00733FCD"/>
    <w:rsid w:val="007346E2"/>
    <w:rsid w:val="00735D15"/>
    <w:rsid w:val="00735F7E"/>
    <w:rsid w:val="00737345"/>
    <w:rsid w:val="007374A0"/>
    <w:rsid w:val="00740648"/>
    <w:rsid w:val="00740B14"/>
    <w:rsid w:val="00741BE9"/>
    <w:rsid w:val="0074260D"/>
    <w:rsid w:val="007426A2"/>
    <w:rsid w:val="007426D8"/>
    <w:rsid w:val="0074336F"/>
    <w:rsid w:val="00743553"/>
    <w:rsid w:val="0074428A"/>
    <w:rsid w:val="00744336"/>
    <w:rsid w:val="007458D6"/>
    <w:rsid w:val="00746403"/>
    <w:rsid w:val="00747429"/>
    <w:rsid w:val="007502A6"/>
    <w:rsid w:val="007515FB"/>
    <w:rsid w:val="00754404"/>
    <w:rsid w:val="0075549D"/>
    <w:rsid w:val="0075587A"/>
    <w:rsid w:val="007567BF"/>
    <w:rsid w:val="00760AC5"/>
    <w:rsid w:val="00761E90"/>
    <w:rsid w:val="007635BC"/>
    <w:rsid w:val="0076516E"/>
    <w:rsid w:val="0076547D"/>
    <w:rsid w:val="00765BA2"/>
    <w:rsid w:val="0077069E"/>
    <w:rsid w:val="0077226A"/>
    <w:rsid w:val="00774EE9"/>
    <w:rsid w:val="00775E21"/>
    <w:rsid w:val="00775F2F"/>
    <w:rsid w:val="007763EB"/>
    <w:rsid w:val="007808AF"/>
    <w:rsid w:val="00781864"/>
    <w:rsid w:val="007819FB"/>
    <w:rsid w:val="00784382"/>
    <w:rsid w:val="0078524A"/>
    <w:rsid w:val="007854AC"/>
    <w:rsid w:val="007874FB"/>
    <w:rsid w:val="00787E4D"/>
    <w:rsid w:val="00790E76"/>
    <w:rsid w:val="0079171D"/>
    <w:rsid w:val="00792FEC"/>
    <w:rsid w:val="00793034"/>
    <w:rsid w:val="00793CC9"/>
    <w:rsid w:val="00794EFE"/>
    <w:rsid w:val="007956A3"/>
    <w:rsid w:val="0079705B"/>
    <w:rsid w:val="007A1B8E"/>
    <w:rsid w:val="007A3F2D"/>
    <w:rsid w:val="007A494B"/>
    <w:rsid w:val="007A527B"/>
    <w:rsid w:val="007A5F44"/>
    <w:rsid w:val="007A6630"/>
    <w:rsid w:val="007A6BE0"/>
    <w:rsid w:val="007A7429"/>
    <w:rsid w:val="007B0B6A"/>
    <w:rsid w:val="007B1521"/>
    <w:rsid w:val="007B1F9E"/>
    <w:rsid w:val="007B22AC"/>
    <w:rsid w:val="007B2365"/>
    <w:rsid w:val="007B2E32"/>
    <w:rsid w:val="007B31DC"/>
    <w:rsid w:val="007B3315"/>
    <w:rsid w:val="007B3DA1"/>
    <w:rsid w:val="007B6B7B"/>
    <w:rsid w:val="007C12A1"/>
    <w:rsid w:val="007C2486"/>
    <w:rsid w:val="007C2E8D"/>
    <w:rsid w:val="007C370D"/>
    <w:rsid w:val="007C58F0"/>
    <w:rsid w:val="007C633C"/>
    <w:rsid w:val="007C69DF"/>
    <w:rsid w:val="007C7BAB"/>
    <w:rsid w:val="007C7EE1"/>
    <w:rsid w:val="007D2216"/>
    <w:rsid w:val="007D260F"/>
    <w:rsid w:val="007D292C"/>
    <w:rsid w:val="007D32D6"/>
    <w:rsid w:val="007D50AB"/>
    <w:rsid w:val="007D52FA"/>
    <w:rsid w:val="007D5E5B"/>
    <w:rsid w:val="007D6599"/>
    <w:rsid w:val="007D6A25"/>
    <w:rsid w:val="007D726C"/>
    <w:rsid w:val="007E25BF"/>
    <w:rsid w:val="007E34BB"/>
    <w:rsid w:val="007E71D2"/>
    <w:rsid w:val="007E7388"/>
    <w:rsid w:val="007E75B5"/>
    <w:rsid w:val="007F071D"/>
    <w:rsid w:val="007F2B20"/>
    <w:rsid w:val="007F323E"/>
    <w:rsid w:val="007F37B9"/>
    <w:rsid w:val="007F4B83"/>
    <w:rsid w:val="007F4D69"/>
    <w:rsid w:val="007F5123"/>
    <w:rsid w:val="007F6118"/>
    <w:rsid w:val="007F763F"/>
    <w:rsid w:val="0080120E"/>
    <w:rsid w:val="008027BE"/>
    <w:rsid w:val="00802A79"/>
    <w:rsid w:val="00803896"/>
    <w:rsid w:val="008068CC"/>
    <w:rsid w:val="00807FF1"/>
    <w:rsid w:val="0081020F"/>
    <w:rsid w:val="008104B9"/>
    <w:rsid w:val="008121A8"/>
    <w:rsid w:val="008126DC"/>
    <w:rsid w:val="00812A77"/>
    <w:rsid w:val="00814431"/>
    <w:rsid w:val="00814632"/>
    <w:rsid w:val="00815131"/>
    <w:rsid w:val="00816E89"/>
    <w:rsid w:val="00816F4A"/>
    <w:rsid w:val="0081717C"/>
    <w:rsid w:val="00820235"/>
    <w:rsid w:val="008234D1"/>
    <w:rsid w:val="00826109"/>
    <w:rsid w:val="00827488"/>
    <w:rsid w:val="00832A76"/>
    <w:rsid w:val="0083474C"/>
    <w:rsid w:val="00834787"/>
    <w:rsid w:val="00834B09"/>
    <w:rsid w:val="00835971"/>
    <w:rsid w:val="00836954"/>
    <w:rsid w:val="008375A6"/>
    <w:rsid w:val="0083784E"/>
    <w:rsid w:val="00840251"/>
    <w:rsid w:val="00840A3B"/>
    <w:rsid w:val="00841376"/>
    <w:rsid w:val="00843D85"/>
    <w:rsid w:val="00844022"/>
    <w:rsid w:val="0084503B"/>
    <w:rsid w:val="00845ACD"/>
    <w:rsid w:val="00845BC0"/>
    <w:rsid w:val="008476CA"/>
    <w:rsid w:val="008508D8"/>
    <w:rsid w:val="00850995"/>
    <w:rsid w:val="00852E92"/>
    <w:rsid w:val="0085368B"/>
    <w:rsid w:val="00853A7D"/>
    <w:rsid w:val="00853F6F"/>
    <w:rsid w:val="00854273"/>
    <w:rsid w:val="00854F4C"/>
    <w:rsid w:val="00854F64"/>
    <w:rsid w:val="00855BBF"/>
    <w:rsid w:val="00856078"/>
    <w:rsid w:val="008609C0"/>
    <w:rsid w:val="008610D2"/>
    <w:rsid w:val="00862CF0"/>
    <w:rsid w:val="00863C73"/>
    <w:rsid w:val="00863E4A"/>
    <w:rsid w:val="0086481E"/>
    <w:rsid w:val="008651BD"/>
    <w:rsid w:val="008659E0"/>
    <w:rsid w:val="0086603B"/>
    <w:rsid w:val="00866DB0"/>
    <w:rsid w:val="00871A85"/>
    <w:rsid w:val="00871E40"/>
    <w:rsid w:val="00872B0B"/>
    <w:rsid w:val="0087425C"/>
    <w:rsid w:val="00874B2F"/>
    <w:rsid w:val="00875D75"/>
    <w:rsid w:val="008773B4"/>
    <w:rsid w:val="008809E3"/>
    <w:rsid w:val="00880A10"/>
    <w:rsid w:val="00881157"/>
    <w:rsid w:val="00881A30"/>
    <w:rsid w:val="00882A30"/>
    <w:rsid w:val="00885002"/>
    <w:rsid w:val="008852C4"/>
    <w:rsid w:val="008859B5"/>
    <w:rsid w:val="00885AFC"/>
    <w:rsid w:val="00887BBE"/>
    <w:rsid w:val="008900DE"/>
    <w:rsid w:val="008913E0"/>
    <w:rsid w:val="008924A2"/>
    <w:rsid w:val="00892A47"/>
    <w:rsid w:val="00893091"/>
    <w:rsid w:val="00893637"/>
    <w:rsid w:val="00893641"/>
    <w:rsid w:val="00893EE5"/>
    <w:rsid w:val="00894120"/>
    <w:rsid w:val="00895AC3"/>
    <w:rsid w:val="00896834"/>
    <w:rsid w:val="00896B95"/>
    <w:rsid w:val="008A01A5"/>
    <w:rsid w:val="008A74BC"/>
    <w:rsid w:val="008A7935"/>
    <w:rsid w:val="008B0266"/>
    <w:rsid w:val="008B1767"/>
    <w:rsid w:val="008B1982"/>
    <w:rsid w:val="008B1A97"/>
    <w:rsid w:val="008B31EA"/>
    <w:rsid w:val="008B36B0"/>
    <w:rsid w:val="008B3B41"/>
    <w:rsid w:val="008B3BA5"/>
    <w:rsid w:val="008B4A55"/>
    <w:rsid w:val="008B5272"/>
    <w:rsid w:val="008B655E"/>
    <w:rsid w:val="008C214F"/>
    <w:rsid w:val="008C2A16"/>
    <w:rsid w:val="008C32C2"/>
    <w:rsid w:val="008C3602"/>
    <w:rsid w:val="008C397D"/>
    <w:rsid w:val="008C3AED"/>
    <w:rsid w:val="008C3BF7"/>
    <w:rsid w:val="008C5143"/>
    <w:rsid w:val="008C5AB9"/>
    <w:rsid w:val="008C5F2C"/>
    <w:rsid w:val="008C6F74"/>
    <w:rsid w:val="008C7342"/>
    <w:rsid w:val="008C76D6"/>
    <w:rsid w:val="008D1107"/>
    <w:rsid w:val="008D4008"/>
    <w:rsid w:val="008D4645"/>
    <w:rsid w:val="008D4A01"/>
    <w:rsid w:val="008D7287"/>
    <w:rsid w:val="008E01B1"/>
    <w:rsid w:val="008E0C7C"/>
    <w:rsid w:val="008E1C3F"/>
    <w:rsid w:val="008E2AA0"/>
    <w:rsid w:val="008E3522"/>
    <w:rsid w:val="008E367A"/>
    <w:rsid w:val="008E7066"/>
    <w:rsid w:val="008E7421"/>
    <w:rsid w:val="008F0698"/>
    <w:rsid w:val="008F0ABA"/>
    <w:rsid w:val="008F14B4"/>
    <w:rsid w:val="008F1837"/>
    <w:rsid w:val="008F2014"/>
    <w:rsid w:val="008F29DA"/>
    <w:rsid w:val="008F3C55"/>
    <w:rsid w:val="008F4A1E"/>
    <w:rsid w:val="008F4B05"/>
    <w:rsid w:val="008F4FFE"/>
    <w:rsid w:val="008F5B16"/>
    <w:rsid w:val="008F5CBB"/>
    <w:rsid w:val="008F6225"/>
    <w:rsid w:val="008F63A8"/>
    <w:rsid w:val="008F6873"/>
    <w:rsid w:val="008F7071"/>
    <w:rsid w:val="008F7528"/>
    <w:rsid w:val="00901097"/>
    <w:rsid w:val="009011BA"/>
    <w:rsid w:val="00901561"/>
    <w:rsid w:val="00902C9B"/>
    <w:rsid w:val="009038C5"/>
    <w:rsid w:val="00903CDF"/>
    <w:rsid w:val="009043A4"/>
    <w:rsid w:val="009056F9"/>
    <w:rsid w:val="0090589C"/>
    <w:rsid w:val="00905F09"/>
    <w:rsid w:val="00906317"/>
    <w:rsid w:val="00907CC9"/>
    <w:rsid w:val="0091017C"/>
    <w:rsid w:val="00910789"/>
    <w:rsid w:val="00910AE1"/>
    <w:rsid w:val="00911F65"/>
    <w:rsid w:val="00912B06"/>
    <w:rsid w:val="00913086"/>
    <w:rsid w:val="00913C45"/>
    <w:rsid w:val="00915B4C"/>
    <w:rsid w:val="0091608E"/>
    <w:rsid w:val="009174E1"/>
    <w:rsid w:val="009201CC"/>
    <w:rsid w:val="0092176A"/>
    <w:rsid w:val="0092407E"/>
    <w:rsid w:val="00924400"/>
    <w:rsid w:val="00924E11"/>
    <w:rsid w:val="00924EBB"/>
    <w:rsid w:val="00925216"/>
    <w:rsid w:val="00925C27"/>
    <w:rsid w:val="00926C10"/>
    <w:rsid w:val="009275E2"/>
    <w:rsid w:val="00927FA4"/>
    <w:rsid w:val="0093145A"/>
    <w:rsid w:val="0093240F"/>
    <w:rsid w:val="00932AA7"/>
    <w:rsid w:val="00932DC9"/>
    <w:rsid w:val="00932EFA"/>
    <w:rsid w:val="00933A4D"/>
    <w:rsid w:val="0093439B"/>
    <w:rsid w:val="009343B3"/>
    <w:rsid w:val="00934A34"/>
    <w:rsid w:val="009352C8"/>
    <w:rsid w:val="009357D3"/>
    <w:rsid w:val="009365AA"/>
    <w:rsid w:val="009367AD"/>
    <w:rsid w:val="009404B9"/>
    <w:rsid w:val="00941BB1"/>
    <w:rsid w:val="00941FAA"/>
    <w:rsid w:val="009429DF"/>
    <w:rsid w:val="0094386B"/>
    <w:rsid w:val="0094465D"/>
    <w:rsid w:val="009463F8"/>
    <w:rsid w:val="0094651C"/>
    <w:rsid w:val="00946816"/>
    <w:rsid w:val="00946A2C"/>
    <w:rsid w:val="00946C58"/>
    <w:rsid w:val="0095002B"/>
    <w:rsid w:val="00950502"/>
    <w:rsid w:val="009522F7"/>
    <w:rsid w:val="00952DAF"/>
    <w:rsid w:val="00953F9E"/>
    <w:rsid w:val="00954A0A"/>
    <w:rsid w:val="00954B74"/>
    <w:rsid w:val="009551E0"/>
    <w:rsid w:val="0095592F"/>
    <w:rsid w:val="00955EE4"/>
    <w:rsid w:val="009562BC"/>
    <w:rsid w:val="00956377"/>
    <w:rsid w:val="009563DB"/>
    <w:rsid w:val="00957A8C"/>
    <w:rsid w:val="00957E87"/>
    <w:rsid w:val="00957F9F"/>
    <w:rsid w:val="009615D6"/>
    <w:rsid w:val="00962897"/>
    <w:rsid w:val="0096598C"/>
    <w:rsid w:val="00966F1C"/>
    <w:rsid w:val="00970043"/>
    <w:rsid w:val="009708A1"/>
    <w:rsid w:val="00971069"/>
    <w:rsid w:val="00971922"/>
    <w:rsid w:val="00972809"/>
    <w:rsid w:val="00973AF9"/>
    <w:rsid w:val="0097440A"/>
    <w:rsid w:val="0097509C"/>
    <w:rsid w:val="00977368"/>
    <w:rsid w:val="00980192"/>
    <w:rsid w:val="0098021B"/>
    <w:rsid w:val="00980985"/>
    <w:rsid w:val="009810F2"/>
    <w:rsid w:val="00982669"/>
    <w:rsid w:val="00983149"/>
    <w:rsid w:val="009845F4"/>
    <w:rsid w:val="009858C8"/>
    <w:rsid w:val="00985A2D"/>
    <w:rsid w:val="00990838"/>
    <w:rsid w:val="00991328"/>
    <w:rsid w:val="00993B2C"/>
    <w:rsid w:val="00993C24"/>
    <w:rsid w:val="009968B9"/>
    <w:rsid w:val="00997856"/>
    <w:rsid w:val="009A1A39"/>
    <w:rsid w:val="009A28F4"/>
    <w:rsid w:val="009A2A03"/>
    <w:rsid w:val="009A308D"/>
    <w:rsid w:val="009A3436"/>
    <w:rsid w:val="009A378F"/>
    <w:rsid w:val="009A581F"/>
    <w:rsid w:val="009A58A7"/>
    <w:rsid w:val="009A6D67"/>
    <w:rsid w:val="009A7C7B"/>
    <w:rsid w:val="009A7F5D"/>
    <w:rsid w:val="009B0049"/>
    <w:rsid w:val="009B0438"/>
    <w:rsid w:val="009B0AC5"/>
    <w:rsid w:val="009B18CF"/>
    <w:rsid w:val="009B19F9"/>
    <w:rsid w:val="009B3289"/>
    <w:rsid w:val="009B362B"/>
    <w:rsid w:val="009B48CB"/>
    <w:rsid w:val="009B4E3A"/>
    <w:rsid w:val="009B7A8C"/>
    <w:rsid w:val="009B7E8F"/>
    <w:rsid w:val="009C1707"/>
    <w:rsid w:val="009C1ABC"/>
    <w:rsid w:val="009C1D7F"/>
    <w:rsid w:val="009C3807"/>
    <w:rsid w:val="009C52E7"/>
    <w:rsid w:val="009C5E53"/>
    <w:rsid w:val="009C5FA2"/>
    <w:rsid w:val="009C703F"/>
    <w:rsid w:val="009C7343"/>
    <w:rsid w:val="009D0D0E"/>
    <w:rsid w:val="009D103C"/>
    <w:rsid w:val="009D3AA6"/>
    <w:rsid w:val="009D3CB0"/>
    <w:rsid w:val="009D4085"/>
    <w:rsid w:val="009D57AA"/>
    <w:rsid w:val="009D61EF"/>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5046"/>
    <w:rsid w:val="009F50D5"/>
    <w:rsid w:val="009F604F"/>
    <w:rsid w:val="009F6898"/>
    <w:rsid w:val="009F6BC0"/>
    <w:rsid w:val="009F770E"/>
    <w:rsid w:val="00A001A1"/>
    <w:rsid w:val="00A00A2E"/>
    <w:rsid w:val="00A0107E"/>
    <w:rsid w:val="00A019CC"/>
    <w:rsid w:val="00A01CD9"/>
    <w:rsid w:val="00A01E31"/>
    <w:rsid w:val="00A01F51"/>
    <w:rsid w:val="00A026D0"/>
    <w:rsid w:val="00A02E85"/>
    <w:rsid w:val="00A0387E"/>
    <w:rsid w:val="00A042B9"/>
    <w:rsid w:val="00A05FCF"/>
    <w:rsid w:val="00A068C2"/>
    <w:rsid w:val="00A0702F"/>
    <w:rsid w:val="00A07EB6"/>
    <w:rsid w:val="00A1045A"/>
    <w:rsid w:val="00A10693"/>
    <w:rsid w:val="00A10B0F"/>
    <w:rsid w:val="00A12203"/>
    <w:rsid w:val="00A12479"/>
    <w:rsid w:val="00A133E2"/>
    <w:rsid w:val="00A14A95"/>
    <w:rsid w:val="00A16083"/>
    <w:rsid w:val="00A165EE"/>
    <w:rsid w:val="00A16AAC"/>
    <w:rsid w:val="00A16C6F"/>
    <w:rsid w:val="00A1724C"/>
    <w:rsid w:val="00A17461"/>
    <w:rsid w:val="00A201F8"/>
    <w:rsid w:val="00A20E25"/>
    <w:rsid w:val="00A21A1E"/>
    <w:rsid w:val="00A22B74"/>
    <w:rsid w:val="00A232A5"/>
    <w:rsid w:val="00A23C0D"/>
    <w:rsid w:val="00A23F71"/>
    <w:rsid w:val="00A248C1"/>
    <w:rsid w:val="00A24CBA"/>
    <w:rsid w:val="00A26C83"/>
    <w:rsid w:val="00A27A4F"/>
    <w:rsid w:val="00A3063D"/>
    <w:rsid w:val="00A3199D"/>
    <w:rsid w:val="00A31ED7"/>
    <w:rsid w:val="00A32803"/>
    <w:rsid w:val="00A3487C"/>
    <w:rsid w:val="00A358ED"/>
    <w:rsid w:val="00A36306"/>
    <w:rsid w:val="00A4069E"/>
    <w:rsid w:val="00A40844"/>
    <w:rsid w:val="00A40EA7"/>
    <w:rsid w:val="00A41712"/>
    <w:rsid w:val="00A41F7B"/>
    <w:rsid w:val="00A41F9F"/>
    <w:rsid w:val="00A4238F"/>
    <w:rsid w:val="00A42B67"/>
    <w:rsid w:val="00A42F56"/>
    <w:rsid w:val="00A43603"/>
    <w:rsid w:val="00A43D3C"/>
    <w:rsid w:val="00A43F6D"/>
    <w:rsid w:val="00A4409D"/>
    <w:rsid w:val="00A44101"/>
    <w:rsid w:val="00A44171"/>
    <w:rsid w:val="00A45F44"/>
    <w:rsid w:val="00A474F6"/>
    <w:rsid w:val="00A47A5F"/>
    <w:rsid w:val="00A47FBB"/>
    <w:rsid w:val="00A506E5"/>
    <w:rsid w:val="00A51B84"/>
    <w:rsid w:val="00A529FC"/>
    <w:rsid w:val="00A52E4A"/>
    <w:rsid w:val="00A533DB"/>
    <w:rsid w:val="00A541A6"/>
    <w:rsid w:val="00A554A3"/>
    <w:rsid w:val="00A57D9F"/>
    <w:rsid w:val="00A60019"/>
    <w:rsid w:val="00A60FE2"/>
    <w:rsid w:val="00A61869"/>
    <w:rsid w:val="00A61AA2"/>
    <w:rsid w:val="00A61D61"/>
    <w:rsid w:val="00A6339E"/>
    <w:rsid w:val="00A634F8"/>
    <w:rsid w:val="00A64349"/>
    <w:rsid w:val="00A64817"/>
    <w:rsid w:val="00A64E1D"/>
    <w:rsid w:val="00A67A1B"/>
    <w:rsid w:val="00A7025F"/>
    <w:rsid w:val="00A70467"/>
    <w:rsid w:val="00A7130E"/>
    <w:rsid w:val="00A71353"/>
    <w:rsid w:val="00A71632"/>
    <w:rsid w:val="00A717A5"/>
    <w:rsid w:val="00A73306"/>
    <w:rsid w:val="00A75ACF"/>
    <w:rsid w:val="00A7792D"/>
    <w:rsid w:val="00A8130E"/>
    <w:rsid w:val="00A81652"/>
    <w:rsid w:val="00A81C3E"/>
    <w:rsid w:val="00A82BD4"/>
    <w:rsid w:val="00A82E55"/>
    <w:rsid w:val="00A8599D"/>
    <w:rsid w:val="00A85BA9"/>
    <w:rsid w:val="00A866F1"/>
    <w:rsid w:val="00A91411"/>
    <w:rsid w:val="00A92EDF"/>
    <w:rsid w:val="00A93F1B"/>
    <w:rsid w:val="00A952F6"/>
    <w:rsid w:val="00A95CFA"/>
    <w:rsid w:val="00A96DE8"/>
    <w:rsid w:val="00A97520"/>
    <w:rsid w:val="00AA0743"/>
    <w:rsid w:val="00AA0FFE"/>
    <w:rsid w:val="00AA14C9"/>
    <w:rsid w:val="00AA25DD"/>
    <w:rsid w:val="00AA27F3"/>
    <w:rsid w:val="00AA3B95"/>
    <w:rsid w:val="00AA3EF8"/>
    <w:rsid w:val="00AA4AD1"/>
    <w:rsid w:val="00AA6130"/>
    <w:rsid w:val="00AA6136"/>
    <w:rsid w:val="00AA7162"/>
    <w:rsid w:val="00AA71DE"/>
    <w:rsid w:val="00AB252A"/>
    <w:rsid w:val="00AB25C3"/>
    <w:rsid w:val="00AB4934"/>
    <w:rsid w:val="00AB4C76"/>
    <w:rsid w:val="00AB6B63"/>
    <w:rsid w:val="00AB719C"/>
    <w:rsid w:val="00AB7B69"/>
    <w:rsid w:val="00AC09E9"/>
    <w:rsid w:val="00AC0E63"/>
    <w:rsid w:val="00AC10CB"/>
    <w:rsid w:val="00AC18AF"/>
    <w:rsid w:val="00AC194D"/>
    <w:rsid w:val="00AC2242"/>
    <w:rsid w:val="00AC24CA"/>
    <w:rsid w:val="00AC2B78"/>
    <w:rsid w:val="00AC4F68"/>
    <w:rsid w:val="00AC57A8"/>
    <w:rsid w:val="00AC6CC8"/>
    <w:rsid w:val="00AC7AD3"/>
    <w:rsid w:val="00AD079A"/>
    <w:rsid w:val="00AD1197"/>
    <w:rsid w:val="00AD2400"/>
    <w:rsid w:val="00AD27AB"/>
    <w:rsid w:val="00AD4052"/>
    <w:rsid w:val="00AD4F4A"/>
    <w:rsid w:val="00AD534E"/>
    <w:rsid w:val="00AD59E1"/>
    <w:rsid w:val="00AD630A"/>
    <w:rsid w:val="00AD6E07"/>
    <w:rsid w:val="00AD7D29"/>
    <w:rsid w:val="00AE016D"/>
    <w:rsid w:val="00AE0288"/>
    <w:rsid w:val="00AE7E8E"/>
    <w:rsid w:val="00AF0899"/>
    <w:rsid w:val="00AF1865"/>
    <w:rsid w:val="00AF1DCE"/>
    <w:rsid w:val="00AF1E5A"/>
    <w:rsid w:val="00AF2921"/>
    <w:rsid w:val="00AF3685"/>
    <w:rsid w:val="00AF5A92"/>
    <w:rsid w:val="00AF5C42"/>
    <w:rsid w:val="00AF71CB"/>
    <w:rsid w:val="00B01457"/>
    <w:rsid w:val="00B02640"/>
    <w:rsid w:val="00B04EBD"/>
    <w:rsid w:val="00B05548"/>
    <w:rsid w:val="00B0572B"/>
    <w:rsid w:val="00B05734"/>
    <w:rsid w:val="00B0636F"/>
    <w:rsid w:val="00B06433"/>
    <w:rsid w:val="00B06571"/>
    <w:rsid w:val="00B06958"/>
    <w:rsid w:val="00B07416"/>
    <w:rsid w:val="00B07E8C"/>
    <w:rsid w:val="00B100F9"/>
    <w:rsid w:val="00B10A09"/>
    <w:rsid w:val="00B111A4"/>
    <w:rsid w:val="00B14007"/>
    <w:rsid w:val="00B1487A"/>
    <w:rsid w:val="00B15773"/>
    <w:rsid w:val="00B20026"/>
    <w:rsid w:val="00B2156E"/>
    <w:rsid w:val="00B21B73"/>
    <w:rsid w:val="00B22057"/>
    <w:rsid w:val="00B256CD"/>
    <w:rsid w:val="00B2580E"/>
    <w:rsid w:val="00B25997"/>
    <w:rsid w:val="00B25B38"/>
    <w:rsid w:val="00B26C1C"/>
    <w:rsid w:val="00B3089D"/>
    <w:rsid w:val="00B333DC"/>
    <w:rsid w:val="00B3382F"/>
    <w:rsid w:val="00B33CE1"/>
    <w:rsid w:val="00B347A1"/>
    <w:rsid w:val="00B34E09"/>
    <w:rsid w:val="00B34FAA"/>
    <w:rsid w:val="00B35207"/>
    <w:rsid w:val="00B35B96"/>
    <w:rsid w:val="00B360A9"/>
    <w:rsid w:val="00B36A70"/>
    <w:rsid w:val="00B37458"/>
    <w:rsid w:val="00B37FFB"/>
    <w:rsid w:val="00B4073C"/>
    <w:rsid w:val="00B4160C"/>
    <w:rsid w:val="00B41889"/>
    <w:rsid w:val="00B429FE"/>
    <w:rsid w:val="00B42DCB"/>
    <w:rsid w:val="00B430B0"/>
    <w:rsid w:val="00B4463A"/>
    <w:rsid w:val="00B450BE"/>
    <w:rsid w:val="00B457CC"/>
    <w:rsid w:val="00B45C4A"/>
    <w:rsid w:val="00B45D58"/>
    <w:rsid w:val="00B45F6B"/>
    <w:rsid w:val="00B46B3E"/>
    <w:rsid w:val="00B517AD"/>
    <w:rsid w:val="00B538C2"/>
    <w:rsid w:val="00B57581"/>
    <w:rsid w:val="00B57F41"/>
    <w:rsid w:val="00B6252C"/>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32EF"/>
    <w:rsid w:val="00B744E4"/>
    <w:rsid w:val="00B76684"/>
    <w:rsid w:val="00B77A09"/>
    <w:rsid w:val="00B77C3D"/>
    <w:rsid w:val="00B801FA"/>
    <w:rsid w:val="00B81634"/>
    <w:rsid w:val="00B81A71"/>
    <w:rsid w:val="00B81D13"/>
    <w:rsid w:val="00B821F3"/>
    <w:rsid w:val="00B82A9E"/>
    <w:rsid w:val="00B842B5"/>
    <w:rsid w:val="00B858F2"/>
    <w:rsid w:val="00B8688A"/>
    <w:rsid w:val="00B86CFD"/>
    <w:rsid w:val="00B87276"/>
    <w:rsid w:val="00B9010E"/>
    <w:rsid w:val="00B90279"/>
    <w:rsid w:val="00B90773"/>
    <w:rsid w:val="00B91913"/>
    <w:rsid w:val="00B9221E"/>
    <w:rsid w:val="00B923D6"/>
    <w:rsid w:val="00B92A51"/>
    <w:rsid w:val="00B93B03"/>
    <w:rsid w:val="00B94201"/>
    <w:rsid w:val="00B942ED"/>
    <w:rsid w:val="00B94332"/>
    <w:rsid w:val="00B954A8"/>
    <w:rsid w:val="00B95EAE"/>
    <w:rsid w:val="00BA1AB5"/>
    <w:rsid w:val="00BA287E"/>
    <w:rsid w:val="00BA2DDA"/>
    <w:rsid w:val="00BA4098"/>
    <w:rsid w:val="00BA6EB5"/>
    <w:rsid w:val="00BB146E"/>
    <w:rsid w:val="00BB18D8"/>
    <w:rsid w:val="00BB1A19"/>
    <w:rsid w:val="00BB1ADC"/>
    <w:rsid w:val="00BB1E63"/>
    <w:rsid w:val="00BB220B"/>
    <w:rsid w:val="00BB3EE6"/>
    <w:rsid w:val="00BB471D"/>
    <w:rsid w:val="00BB644F"/>
    <w:rsid w:val="00BB6537"/>
    <w:rsid w:val="00BB692F"/>
    <w:rsid w:val="00BB76D0"/>
    <w:rsid w:val="00BB7F93"/>
    <w:rsid w:val="00BC1E74"/>
    <w:rsid w:val="00BC2995"/>
    <w:rsid w:val="00BC498F"/>
    <w:rsid w:val="00BC4E53"/>
    <w:rsid w:val="00BC6270"/>
    <w:rsid w:val="00BD07DD"/>
    <w:rsid w:val="00BD0C19"/>
    <w:rsid w:val="00BD0E8B"/>
    <w:rsid w:val="00BD10C7"/>
    <w:rsid w:val="00BD1128"/>
    <w:rsid w:val="00BD117C"/>
    <w:rsid w:val="00BD1D50"/>
    <w:rsid w:val="00BD1E21"/>
    <w:rsid w:val="00BD4651"/>
    <w:rsid w:val="00BD5283"/>
    <w:rsid w:val="00BD59DB"/>
    <w:rsid w:val="00BD748B"/>
    <w:rsid w:val="00BD768E"/>
    <w:rsid w:val="00BE0766"/>
    <w:rsid w:val="00BE0C9E"/>
    <w:rsid w:val="00BE161B"/>
    <w:rsid w:val="00BE49A8"/>
    <w:rsid w:val="00BE6872"/>
    <w:rsid w:val="00BE70CE"/>
    <w:rsid w:val="00BE7A9F"/>
    <w:rsid w:val="00BE7AAE"/>
    <w:rsid w:val="00BF13F3"/>
    <w:rsid w:val="00BF2083"/>
    <w:rsid w:val="00BF2743"/>
    <w:rsid w:val="00BF30D5"/>
    <w:rsid w:val="00BF3DF4"/>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74D3"/>
    <w:rsid w:val="00C11027"/>
    <w:rsid w:val="00C1123D"/>
    <w:rsid w:val="00C142BB"/>
    <w:rsid w:val="00C15A78"/>
    <w:rsid w:val="00C15AD4"/>
    <w:rsid w:val="00C15F9B"/>
    <w:rsid w:val="00C1665D"/>
    <w:rsid w:val="00C2100F"/>
    <w:rsid w:val="00C2187B"/>
    <w:rsid w:val="00C22469"/>
    <w:rsid w:val="00C22631"/>
    <w:rsid w:val="00C22686"/>
    <w:rsid w:val="00C22EF0"/>
    <w:rsid w:val="00C2393F"/>
    <w:rsid w:val="00C246BA"/>
    <w:rsid w:val="00C24CC2"/>
    <w:rsid w:val="00C25645"/>
    <w:rsid w:val="00C26B22"/>
    <w:rsid w:val="00C27D0E"/>
    <w:rsid w:val="00C30531"/>
    <w:rsid w:val="00C306B9"/>
    <w:rsid w:val="00C30C46"/>
    <w:rsid w:val="00C310F5"/>
    <w:rsid w:val="00C311F1"/>
    <w:rsid w:val="00C31B14"/>
    <w:rsid w:val="00C31FED"/>
    <w:rsid w:val="00C4016B"/>
    <w:rsid w:val="00C41E93"/>
    <w:rsid w:val="00C43231"/>
    <w:rsid w:val="00C454B6"/>
    <w:rsid w:val="00C455A8"/>
    <w:rsid w:val="00C461FA"/>
    <w:rsid w:val="00C463A6"/>
    <w:rsid w:val="00C46406"/>
    <w:rsid w:val="00C46449"/>
    <w:rsid w:val="00C473A7"/>
    <w:rsid w:val="00C50C94"/>
    <w:rsid w:val="00C512F9"/>
    <w:rsid w:val="00C51A18"/>
    <w:rsid w:val="00C51B76"/>
    <w:rsid w:val="00C5299B"/>
    <w:rsid w:val="00C52FBB"/>
    <w:rsid w:val="00C55955"/>
    <w:rsid w:val="00C55D37"/>
    <w:rsid w:val="00C55F4E"/>
    <w:rsid w:val="00C57F33"/>
    <w:rsid w:val="00C60FB6"/>
    <w:rsid w:val="00C627DB"/>
    <w:rsid w:val="00C64846"/>
    <w:rsid w:val="00C65BFF"/>
    <w:rsid w:val="00C66966"/>
    <w:rsid w:val="00C66EBF"/>
    <w:rsid w:val="00C67CD2"/>
    <w:rsid w:val="00C67F39"/>
    <w:rsid w:val="00C70B0F"/>
    <w:rsid w:val="00C716CE"/>
    <w:rsid w:val="00C719BD"/>
    <w:rsid w:val="00C72170"/>
    <w:rsid w:val="00C73C17"/>
    <w:rsid w:val="00C74E65"/>
    <w:rsid w:val="00C76053"/>
    <w:rsid w:val="00C77760"/>
    <w:rsid w:val="00C80184"/>
    <w:rsid w:val="00C8069F"/>
    <w:rsid w:val="00C80D77"/>
    <w:rsid w:val="00C82DAB"/>
    <w:rsid w:val="00C8459E"/>
    <w:rsid w:val="00C851EA"/>
    <w:rsid w:val="00C85200"/>
    <w:rsid w:val="00C85B20"/>
    <w:rsid w:val="00C860DE"/>
    <w:rsid w:val="00C87F65"/>
    <w:rsid w:val="00C91732"/>
    <w:rsid w:val="00C9173B"/>
    <w:rsid w:val="00C917CD"/>
    <w:rsid w:val="00C9330E"/>
    <w:rsid w:val="00C95A40"/>
    <w:rsid w:val="00C96450"/>
    <w:rsid w:val="00CA04D8"/>
    <w:rsid w:val="00CA0F2A"/>
    <w:rsid w:val="00CA1DEE"/>
    <w:rsid w:val="00CA2F9B"/>
    <w:rsid w:val="00CA3300"/>
    <w:rsid w:val="00CA4842"/>
    <w:rsid w:val="00CA488D"/>
    <w:rsid w:val="00CA4AC3"/>
    <w:rsid w:val="00CA51BA"/>
    <w:rsid w:val="00CA55A8"/>
    <w:rsid w:val="00CA5DC7"/>
    <w:rsid w:val="00CA60FB"/>
    <w:rsid w:val="00CA643A"/>
    <w:rsid w:val="00CA6599"/>
    <w:rsid w:val="00CA68B3"/>
    <w:rsid w:val="00CA73DA"/>
    <w:rsid w:val="00CA7640"/>
    <w:rsid w:val="00CB030D"/>
    <w:rsid w:val="00CB08A2"/>
    <w:rsid w:val="00CB1EBE"/>
    <w:rsid w:val="00CB2D67"/>
    <w:rsid w:val="00CB51FB"/>
    <w:rsid w:val="00CB54FF"/>
    <w:rsid w:val="00CB58E8"/>
    <w:rsid w:val="00CB62E9"/>
    <w:rsid w:val="00CB71E0"/>
    <w:rsid w:val="00CB7BFD"/>
    <w:rsid w:val="00CC0150"/>
    <w:rsid w:val="00CC0545"/>
    <w:rsid w:val="00CC1E32"/>
    <w:rsid w:val="00CC2A3A"/>
    <w:rsid w:val="00CC39BD"/>
    <w:rsid w:val="00CC4930"/>
    <w:rsid w:val="00CC4A9D"/>
    <w:rsid w:val="00CC5E3C"/>
    <w:rsid w:val="00CC6C21"/>
    <w:rsid w:val="00CC77CC"/>
    <w:rsid w:val="00CD1E5C"/>
    <w:rsid w:val="00CD2D4F"/>
    <w:rsid w:val="00CD4824"/>
    <w:rsid w:val="00CD49D6"/>
    <w:rsid w:val="00CD4A64"/>
    <w:rsid w:val="00CD4CAA"/>
    <w:rsid w:val="00CD53AA"/>
    <w:rsid w:val="00CD552C"/>
    <w:rsid w:val="00CD7640"/>
    <w:rsid w:val="00CE170E"/>
    <w:rsid w:val="00CE1DE2"/>
    <w:rsid w:val="00CE2C6F"/>
    <w:rsid w:val="00CE387D"/>
    <w:rsid w:val="00CE40BB"/>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6FB"/>
    <w:rsid w:val="00D12038"/>
    <w:rsid w:val="00D12FCE"/>
    <w:rsid w:val="00D13594"/>
    <w:rsid w:val="00D1373A"/>
    <w:rsid w:val="00D13939"/>
    <w:rsid w:val="00D13952"/>
    <w:rsid w:val="00D13E17"/>
    <w:rsid w:val="00D14759"/>
    <w:rsid w:val="00D15155"/>
    <w:rsid w:val="00D157DD"/>
    <w:rsid w:val="00D16EA4"/>
    <w:rsid w:val="00D205F6"/>
    <w:rsid w:val="00D22E6E"/>
    <w:rsid w:val="00D25F61"/>
    <w:rsid w:val="00D2668D"/>
    <w:rsid w:val="00D27208"/>
    <w:rsid w:val="00D27E1D"/>
    <w:rsid w:val="00D3006E"/>
    <w:rsid w:val="00D31658"/>
    <w:rsid w:val="00D31C22"/>
    <w:rsid w:val="00D31CD6"/>
    <w:rsid w:val="00D32F21"/>
    <w:rsid w:val="00D33B34"/>
    <w:rsid w:val="00D34255"/>
    <w:rsid w:val="00D348B2"/>
    <w:rsid w:val="00D34B0C"/>
    <w:rsid w:val="00D34B29"/>
    <w:rsid w:val="00D34C75"/>
    <w:rsid w:val="00D34CDB"/>
    <w:rsid w:val="00D35DB1"/>
    <w:rsid w:val="00D40056"/>
    <w:rsid w:val="00D40A74"/>
    <w:rsid w:val="00D40EAD"/>
    <w:rsid w:val="00D41119"/>
    <w:rsid w:val="00D41B30"/>
    <w:rsid w:val="00D4245B"/>
    <w:rsid w:val="00D42513"/>
    <w:rsid w:val="00D4335E"/>
    <w:rsid w:val="00D4443C"/>
    <w:rsid w:val="00D45430"/>
    <w:rsid w:val="00D47191"/>
    <w:rsid w:val="00D5014A"/>
    <w:rsid w:val="00D51115"/>
    <w:rsid w:val="00D55839"/>
    <w:rsid w:val="00D55C9D"/>
    <w:rsid w:val="00D57CDE"/>
    <w:rsid w:val="00D604E1"/>
    <w:rsid w:val="00D60D6C"/>
    <w:rsid w:val="00D60D7C"/>
    <w:rsid w:val="00D616FC"/>
    <w:rsid w:val="00D6225D"/>
    <w:rsid w:val="00D63021"/>
    <w:rsid w:val="00D630ED"/>
    <w:rsid w:val="00D65F47"/>
    <w:rsid w:val="00D66D89"/>
    <w:rsid w:val="00D700FC"/>
    <w:rsid w:val="00D702C7"/>
    <w:rsid w:val="00D704CD"/>
    <w:rsid w:val="00D7067D"/>
    <w:rsid w:val="00D71551"/>
    <w:rsid w:val="00D7155D"/>
    <w:rsid w:val="00D71BC0"/>
    <w:rsid w:val="00D740B0"/>
    <w:rsid w:val="00D74321"/>
    <w:rsid w:val="00D74496"/>
    <w:rsid w:val="00D74855"/>
    <w:rsid w:val="00D75536"/>
    <w:rsid w:val="00D7626C"/>
    <w:rsid w:val="00D762A2"/>
    <w:rsid w:val="00D808C0"/>
    <w:rsid w:val="00D81296"/>
    <w:rsid w:val="00D81E6E"/>
    <w:rsid w:val="00D823F6"/>
    <w:rsid w:val="00D82C47"/>
    <w:rsid w:val="00D838DB"/>
    <w:rsid w:val="00D84F9D"/>
    <w:rsid w:val="00D85BC1"/>
    <w:rsid w:val="00D85CDB"/>
    <w:rsid w:val="00D861AF"/>
    <w:rsid w:val="00D86669"/>
    <w:rsid w:val="00D86F5C"/>
    <w:rsid w:val="00D918DA"/>
    <w:rsid w:val="00D93444"/>
    <w:rsid w:val="00D93E2D"/>
    <w:rsid w:val="00D95F7E"/>
    <w:rsid w:val="00D96169"/>
    <w:rsid w:val="00D96719"/>
    <w:rsid w:val="00D96B2A"/>
    <w:rsid w:val="00DA056E"/>
    <w:rsid w:val="00DA0CB2"/>
    <w:rsid w:val="00DA1F25"/>
    <w:rsid w:val="00DA22BE"/>
    <w:rsid w:val="00DA40B8"/>
    <w:rsid w:val="00DA4487"/>
    <w:rsid w:val="00DA4E45"/>
    <w:rsid w:val="00DA5473"/>
    <w:rsid w:val="00DA5BBD"/>
    <w:rsid w:val="00DA5BCE"/>
    <w:rsid w:val="00DA70AE"/>
    <w:rsid w:val="00DA7D70"/>
    <w:rsid w:val="00DA7DA7"/>
    <w:rsid w:val="00DB004F"/>
    <w:rsid w:val="00DB052F"/>
    <w:rsid w:val="00DB6DB2"/>
    <w:rsid w:val="00DB7351"/>
    <w:rsid w:val="00DB7F86"/>
    <w:rsid w:val="00DC0CD9"/>
    <w:rsid w:val="00DC1C0E"/>
    <w:rsid w:val="00DC1C72"/>
    <w:rsid w:val="00DC2545"/>
    <w:rsid w:val="00DC258D"/>
    <w:rsid w:val="00DC35D1"/>
    <w:rsid w:val="00DC461B"/>
    <w:rsid w:val="00DC5397"/>
    <w:rsid w:val="00DC5933"/>
    <w:rsid w:val="00DC6844"/>
    <w:rsid w:val="00DC688A"/>
    <w:rsid w:val="00DC68AC"/>
    <w:rsid w:val="00DC7BD3"/>
    <w:rsid w:val="00DD0889"/>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11B9"/>
    <w:rsid w:val="00DF3467"/>
    <w:rsid w:val="00DF3A74"/>
    <w:rsid w:val="00DF432F"/>
    <w:rsid w:val="00DF4F8B"/>
    <w:rsid w:val="00DF537F"/>
    <w:rsid w:val="00DF56C2"/>
    <w:rsid w:val="00DF5D4B"/>
    <w:rsid w:val="00DF682A"/>
    <w:rsid w:val="00DF7478"/>
    <w:rsid w:val="00E00039"/>
    <w:rsid w:val="00E0161B"/>
    <w:rsid w:val="00E018BC"/>
    <w:rsid w:val="00E037FC"/>
    <w:rsid w:val="00E03879"/>
    <w:rsid w:val="00E044D2"/>
    <w:rsid w:val="00E05A89"/>
    <w:rsid w:val="00E06D98"/>
    <w:rsid w:val="00E072AD"/>
    <w:rsid w:val="00E100AC"/>
    <w:rsid w:val="00E1032E"/>
    <w:rsid w:val="00E123A8"/>
    <w:rsid w:val="00E13261"/>
    <w:rsid w:val="00E13588"/>
    <w:rsid w:val="00E1429A"/>
    <w:rsid w:val="00E144B5"/>
    <w:rsid w:val="00E145D4"/>
    <w:rsid w:val="00E15015"/>
    <w:rsid w:val="00E1508F"/>
    <w:rsid w:val="00E15F6A"/>
    <w:rsid w:val="00E15F7A"/>
    <w:rsid w:val="00E1672B"/>
    <w:rsid w:val="00E20CDA"/>
    <w:rsid w:val="00E21BB9"/>
    <w:rsid w:val="00E21E85"/>
    <w:rsid w:val="00E22344"/>
    <w:rsid w:val="00E23E90"/>
    <w:rsid w:val="00E24755"/>
    <w:rsid w:val="00E24F3E"/>
    <w:rsid w:val="00E2566B"/>
    <w:rsid w:val="00E25E4D"/>
    <w:rsid w:val="00E25E93"/>
    <w:rsid w:val="00E2604A"/>
    <w:rsid w:val="00E2784B"/>
    <w:rsid w:val="00E27C05"/>
    <w:rsid w:val="00E31045"/>
    <w:rsid w:val="00E3171C"/>
    <w:rsid w:val="00E33BE9"/>
    <w:rsid w:val="00E33F33"/>
    <w:rsid w:val="00E3451D"/>
    <w:rsid w:val="00E35751"/>
    <w:rsid w:val="00E37592"/>
    <w:rsid w:val="00E41630"/>
    <w:rsid w:val="00E41817"/>
    <w:rsid w:val="00E42841"/>
    <w:rsid w:val="00E42C3E"/>
    <w:rsid w:val="00E457F1"/>
    <w:rsid w:val="00E473DA"/>
    <w:rsid w:val="00E47AE7"/>
    <w:rsid w:val="00E51A28"/>
    <w:rsid w:val="00E5295B"/>
    <w:rsid w:val="00E5374F"/>
    <w:rsid w:val="00E5400D"/>
    <w:rsid w:val="00E550F1"/>
    <w:rsid w:val="00E554CD"/>
    <w:rsid w:val="00E55F16"/>
    <w:rsid w:val="00E55FBF"/>
    <w:rsid w:val="00E5645A"/>
    <w:rsid w:val="00E56BB1"/>
    <w:rsid w:val="00E57666"/>
    <w:rsid w:val="00E608FB"/>
    <w:rsid w:val="00E609DE"/>
    <w:rsid w:val="00E61B87"/>
    <w:rsid w:val="00E62181"/>
    <w:rsid w:val="00E62CF1"/>
    <w:rsid w:val="00E62FAB"/>
    <w:rsid w:val="00E63B8E"/>
    <w:rsid w:val="00E63BF1"/>
    <w:rsid w:val="00E64B79"/>
    <w:rsid w:val="00E64CE0"/>
    <w:rsid w:val="00E64E2A"/>
    <w:rsid w:val="00E65810"/>
    <w:rsid w:val="00E65DB3"/>
    <w:rsid w:val="00E66AD3"/>
    <w:rsid w:val="00E66F26"/>
    <w:rsid w:val="00E670E7"/>
    <w:rsid w:val="00E67246"/>
    <w:rsid w:val="00E67B41"/>
    <w:rsid w:val="00E7070C"/>
    <w:rsid w:val="00E71BEA"/>
    <w:rsid w:val="00E71E5C"/>
    <w:rsid w:val="00E725E1"/>
    <w:rsid w:val="00E72793"/>
    <w:rsid w:val="00E74367"/>
    <w:rsid w:val="00E749D1"/>
    <w:rsid w:val="00E750CA"/>
    <w:rsid w:val="00E750FE"/>
    <w:rsid w:val="00E75DAB"/>
    <w:rsid w:val="00E76C48"/>
    <w:rsid w:val="00E77BAE"/>
    <w:rsid w:val="00E804D8"/>
    <w:rsid w:val="00E8056E"/>
    <w:rsid w:val="00E8176F"/>
    <w:rsid w:val="00E81F73"/>
    <w:rsid w:val="00E8273E"/>
    <w:rsid w:val="00E84FB5"/>
    <w:rsid w:val="00E859FF"/>
    <w:rsid w:val="00E8609A"/>
    <w:rsid w:val="00E87390"/>
    <w:rsid w:val="00E90124"/>
    <w:rsid w:val="00E9122F"/>
    <w:rsid w:val="00E91AE5"/>
    <w:rsid w:val="00E93657"/>
    <w:rsid w:val="00E9733D"/>
    <w:rsid w:val="00EA080C"/>
    <w:rsid w:val="00EA0F13"/>
    <w:rsid w:val="00EA18AD"/>
    <w:rsid w:val="00EA22F2"/>
    <w:rsid w:val="00EA2351"/>
    <w:rsid w:val="00EA2F04"/>
    <w:rsid w:val="00EA316B"/>
    <w:rsid w:val="00EA486A"/>
    <w:rsid w:val="00EA4DA3"/>
    <w:rsid w:val="00EA4EC1"/>
    <w:rsid w:val="00EA4F50"/>
    <w:rsid w:val="00EA740D"/>
    <w:rsid w:val="00EA7BCC"/>
    <w:rsid w:val="00EA7E4B"/>
    <w:rsid w:val="00EB0C75"/>
    <w:rsid w:val="00EB1866"/>
    <w:rsid w:val="00EB1D0B"/>
    <w:rsid w:val="00EB1D3D"/>
    <w:rsid w:val="00EB1F35"/>
    <w:rsid w:val="00EB22B2"/>
    <w:rsid w:val="00EB2FD5"/>
    <w:rsid w:val="00EB4707"/>
    <w:rsid w:val="00EB4C6B"/>
    <w:rsid w:val="00EB6C7E"/>
    <w:rsid w:val="00EB7DF6"/>
    <w:rsid w:val="00EC0905"/>
    <w:rsid w:val="00EC2BCA"/>
    <w:rsid w:val="00EC44BD"/>
    <w:rsid w:val="00EC6A10"/>
    <w:rsid w:val="00ED1CED"/>
    <w:rsid w:val="00ED2A6B"/>
    <w:rsid w:val="00ED3089"/>
    <w:rsid w:val="00ED3236"/>
    <w:rsid w:val="00ED3ACC"/>
    <w:rsid w:val="00ED3DD0"/>
    <w:rsid w:val="00ED4AD5"/>
    <w:rsid w:val="00ED56F8"/>
    <w:rsid w:val="00ED5BBF"/>
    <w:rsid w:val="00ED6875"/>
    <w:rsid w:val="00ED6F50"/>
    <w:rsid w:val="00EE0F6B"/>
    <w:rsid w:val="00EE2565"/>
    <w:rsid w:val="00EE33B1"/>
    <w:rsid w:val="00EE509A"/>
    <w:rsid w:val="00EE6A18"/>
    <w:rsid w:val="00EE6FCC"/>
    <w:rsid w:val="00EE7BEB"/>
    <w:rsid w:val="00EE7CC7"/>
    <w:rsid w:val="00EF13E0"/>
    <w:rsid w:val="00EF2415"/>
    <w:rsid w:val="00EF2B54"/>
    <w:rsid w:val="00EF2D2A"/>
    <w:rsid w:val="00EF2E67"/>
    <w:rsid w:val="00EF3DA2"/>
    <w:rsid w:val="00EF45FB"/>
    <w:rsid w:val="00EF493B"/>
    <w:rsid w:val="00EF5FA8"/>
    <w:rsid w:val="00EF647B"/>
    <w:rsid w:val="00EF770E"/>
    <w:rsid w:val="00EF7D99"/>
    <w:rsid w:val="00EF7F30"/>
    <w:rsid w:val="00F0084B"/>
    <w:rsid w:val="00F011C2"/>
    <w:rsid w:val="00F02436"/>
    <w:rsid w:val="00F03781"/>
    <w:rsid w:val="00F03B53"/>
    <w:rsid w:val="00F05282"/>
    <w:rsid w:val="00F05E79"/>
    <w:rsid w:val="00F06F0B"/>
    <w:rsid w:val="00F071BB"/>
    <w:rsid w:val="00F108F8"/>
    <w:rsid w:val="00F109C2"/>
    <w:rsid w:val="00F10CDB"/>
    <w:rsid w:val="00F10DBD"/>
    <w:rsid w:val="00F137BB"/>
    <w:rsid w:val="00F139B4"/>
    <w:rsid w:val="00F14031"/>
    <w:rsid w:val="00F14B39"/>
    <w:rsid w:val="00F14F72"/>
    <w:rsid w:val="00F16606"/>
    <w:rsid w:val="00F167FF"/>
    <w:rsid w:val="00F16BF6"/>
    <w:rsid w:val="00F262BA"/>
    <w:rsid w:val="00F26C7D"/>
    <w:rsid w:val="00F26CAF"/>
    <w:rsid w:val="00F272B2"/>
    <w:rsid w:val="00F27D98"/>
    <w:rsid w:val="00F305D7"/>
    <w:rsid w:val="00F30EB3"/>
    <w:rsid w:val="00F31737"/>
    <w:rsid w:val="00F31771"/>
    <w:rsid w:val="00F318FE"/>
    <w:rsid w:val="00F34BF4"/>
    <w:rsid w:val="00F35EE9"/>
    <w:rsid w:val="00F3723D"/>
    <w:rsid w:val="00F40269"/>
    <w:rsid w:val="00F41403"/>
    <w:rsid w:val="00F42027"/>
    <w:rsid w:val="00F438DD"/>
    <w:rsid w:val="00F45B4D"/>
    <w:rsid w:val="00F45DB6"/>
    <w:rsid w:val="00F45F65"/>
    <w:rsid w:val="00F463A7"/>
    <w:rsid w:val="00F46F5E"/>
    <w:rsid w:val="00F529AB"/>
    <w:rsid w:val="00F5384F"/>
    <w:rsid w:val="00F54AFD"/>
    <w:rsid w:val="00F54B27"/>
    <w:rsid w:val="00F57A55"/>
    <w:rsid w:val="00F57CB6"/>
    <w:rsid w:val="00F60F00"/>
    <w:rsid w:val="00F62006"/>
    <w:rsid w:val="00F62F2E"/>
    <w:rsid w:val="00F640D7"/>
    <w:rsid w:val="00F6528F"/>
    <w:rsid w:val="00F66C72"/>
    <w:rsid w:val="00F66FFF"/>
    <w:rsid w:val="00F675FF"/>
    <w:rsid w:val="00F7060F"/>
    <w:rsid w:val="00F70F81"/>
    <w:rsid w:val="00F74368"/>
    <w:rsid w:val="00F76D43"/>
    <w:rsid w:val="00F77319"/>
    <w:rsid w:val="00F77628"/>
    <w:rsid w:val="00F80BD5"/>
    <w:rsid w:val="00F80D66"/>
    <w:rsid w:val="00F80EE7"/>
    <w:rsid w:val="00F81B8F"/>
    <w:rsid w:val="00F81DFD"/>
    <w:rsid w:val="00F82537"/>
    <w:rsid w:val="00F83C45"/>
    <w:rsid w:val="00F83CA5"/>
    <w:rsid w:val="00F8414B"/>
    <w:rsid w:val="00F84379"/>
    <w:rsid w:val="00F849EE"/>
    <w:rsid w:val="00F85EC8"/>
    <w:rsid w:val="00F86337"/>
    <w:rsid w:val="00F87324"/>
    <w:rsid w:val="00F90F30"/>
    <w:rsid w:val="00F928C0"/>
    <w:rsid w:val="00F92980"/>
    <w:rsid w:val="00F93922"/>
    <w:rsid w:val="00F95994"/>
    <w:rsid w:val="00F962AA"/>
    <w:rsid w:val="00F96607"/>
    <w:rsid w:val="00FA05D4"/>
    <w:rsid w:val="00FA0851"/>
    <w:rsid w:val="00FA0B3D"/>
    <w:rsid w:val="00FA0FE3"/>
    <w:rsid w:val="00FA1D4C"/>
    <w:rsid w:val="00FA2A5F"/>
    <w:rsid w:val="00FA4C81"/>
    <w:rsid w:val="00FA52EA"/>
    <w:rsid w:val="00FA6C05"/>
    <w:rsid w:val="00FA6D87"/>
    <w:rsid w:val="00FB28DA"/>
    <w:rsid w:val="00FB3ADF"/>
    <w:rsid w:val="00FB3F0D"/>
    <w:rsid w:val="00FB45E4"/>
    <w:rsid w:val="00FB4ABE"/>
    <w:rsid w:val="00FB78FB"/>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4FC3"/>
    <w:rsid w:val="00FD5E15"/>
    <w:rsid w:val="00FD6448"/>
    <w:rsid w:val="00FE107E"/>
    <w:rsid w:val="00FE20D5"/>
    <w:rsid w:val="00FE416D"/>
    <w:rsid w:val="00FE4A05"/>
    <w:rsid w:val="00FE5ED9"/>
    <w:rsid w:val="00FE602F"/>
    <w:rsid w:val="00FE76D8"/>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7A0F72"/>
  <w15:docId w15:val="{299B682C-755B-4869-86C3-1E5C9732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59"/>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3C07-B159-4889-98C2-C9510614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18</Pages>
  <Words>5012</Words>
  <Characters>27572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32519</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SFINANZAS</dc:creator>
  <cp:lastModifiedBy>Sandra.Mota</cp:lastModifiedBy>
  <cp:revision>28</cp:revision>
  <cp:lastPrinted>2020-07-07T16:27:00Z</cp:lastPrinted>
  <dcterms:created xsi:type="dcterms:W3CDTF">2020-06-30T22:03:00Z</dcterms:created>
  <dcterms:modified xsi:type="dcterms:W3CDTF">2020-07-07T16:36:00Z</dcterms:modified>
</cp:coreProperties>
</file>